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CE2D" w14:textId="77777777" w:rsidR="00866178" w:rsidRPr="00D723FF" w:rsidRDefault="00866178" w:rsidP="00D723FF">
      <w:pPr>
        <w:pStyle w:val="Normal0"/>
        <w:spacing w:after="0" w:line="360" w:lineRule="auto"/>
        <w:rPr>
          <w:rFonts w:cs="Times New Roman"/>
          <w:b/>
          <w:bCs/>
        </w:rPr>
      </w:pPr>
    </w:p>
    <w:p w14:paraId="53C73501" w14:textId="77777777" w:rsidR="00866178" w:rsidRPr="00D723FF" w:rsidRDefault="00866178" w:rsidP="00D723FF">
      <w:pPr>
        <w:pStyle w:val="Normal0"/>
        <w:spacing w:line="360" w:lineRule="auto"/>
        <w:jc w:val="center"/>
        <w:rPr>
          <w:rFonts w:cs="Times New Roman"/>
          <w:smallCaps/>
        </w:rPr>
      </w:pPr>
      <w:r w:rsidRPr="00D723FF">
        <w:rPr>
          <w:rFonts w:cs="Times New Roman"/>
          <w:noProof/>
        </w:rPr>
        <w:drawing>
          <wp:inline distT="0" distB="0" distL="0" distR="0" wp14:anchorId="16E11DA3" wp14:editId="553AB54E">
            <wp:extent cx="1431925" cy="2380615"/>
            <wp:effectExtent l="0" t="0" r="0" b="0"/>
            <wp:docPr id="2" name="image1.jpg" descr="Beschrijving: LOGO kuleuven"/>
            <wp:cNvGraphicFramePr/>
            <a:graphic xmlns:a="http://schemas.openxmlformats.org/drawingml/2006/main">
              <a:graphicData uri="http://schemas.openxmlformats.org/drawingml/2006/picture">
                <pic:pic xmlns:pic="http://schemas.openxmlformats.org/drawingml/2006/picture">
                  <pic:nvPicPr>
                    <pic:cNvPr id="0" name="image1.jpg" descr="Beschrijving: LOGO kuleuven"/>
                    <pic:cNvPicPr preferRelativeResize="0"/>
                  </pic:nvPicPr>
                  <pic:blipFill>
                    <a:blip r:embed="rId8"/>
                    <a:srcRect/>
                    <a:stretch>
                      <a:fillRect/>
                    </a:stretch>
                  </pic:blipFill>
                  <pic:spPr>
                    <a:xfrm>
                      <a:off x="0" y="0"/>
                      <a:ext cx="1431925" cy="2380615"/>
                    </a:xfrm>
                    <a:prstGeom prst="rect">
                      <a:avLst/>
                    </a:prstGeom>
                    <a:ln/>
                  </pic:spPr>
                </pic:pic>
              </a:graphicData>
            </a:graphic>
          </wp:inline>
        </w:drawing>
      </w:r>
    </w:p>
    <w:p w14:paraId="1C4946D3" w14:textId="77777777" w:rsidR="00866178" w:rsidRPr="00D723FF" w:rsidRDefault="00866178" w:rsidP="00D723FF">
      <w:pPr>
        <w:pStyle w:val="Normal0"/>
        <w:spacing w:before="240" w:line="360" w:lineRule="auto"/>
        <w:jc w:val="center"/>
        <w:rPr>
          <w:rFonts w:cs="Times New Roman"/>
          <w:smallCaps/>
        </w:rPr>
      </w:pPr>
      <w:r w:rsidRPr="00D723FF">
        <w:rPr>
          <w:rFonts w:cs="Times New Roman"/>
          <w:smallCaps/>
        </w:rPr>
        <w:t>KU Leuven</w:t>
      </w:r>
    </w:p>
    <w:p w14:paraId="422ECFDD" w14:textId="443BA4E7" w:rsidR="00866178" w:rsidRPr="00D723FF" w:rsidRDefault="00715BCD" w:rsidP="00D723FF">
      <w:pPr>
        <w:pStyle w:val="Normal0"/>
        <w:spacing w:line="360" w:lineRule="auto"/>
        <w:jc w:val="center"/>
        <w:rPr>
          <w:rFonts w:cs="Times New Roman"/>
          <w:smallCaps/>
        </w:rPr>
      </w:pPr>
      <w:r w:rsidRPr="00D723FF">
        <w:rPr>
          <w:rFonts w:cs="Times New Roman"/>
          <w:smallCaps/>
        </w:rPr>
        <w:t>Law faculty</w:t>
      </w:r>
      <w:r w:rsidR="0051695D" w:rsidRPr="00D723FF">
        <w:rPr>
          <w:rFonts w:cs="Times New Roman"/>
          <w:smallCaps/>
        </w:rPr>
        <w:t xml:space="preserve"> and criminology</w:t>
      </w:r>
    </w:p>
    <w:p w14:paraId="18E92881" w14:textId="17F00756" w:rsidR="00866178" w:rsidRPr="00D723FF" w:rsidRDefault="00866178" w:rsidP="00D723FF">
      <w:pPr>
        <w:pStyle w:val="Normal0"/>
        <w:spacing w:line="360" w:lineRule="auto"/>
        <w:jc w:val="center"/>
        <w:rPr>
          <w:rFonts w:cs="Times New Roman"/>
        </w:rPr>
      </w:pPr>
      <w:r w:rsidRPr="00D723FF">
        <w:rPr>
          <w:rFonts w:cs="Times New Roman"/>
        </w:rPr>
        <w:t>Academ</w:t>
      </w:r>
      <w:r w:rsidR="00715BCD" w:rsidRPr="00D723FF">
        <w:rPr>
          <w:rFonts w:cs="Times New Roman"/>
        </w:rPr>
        <w:t xml:space="preserve">ic year </w:t>
      </w:r>
      <w:r w:rsidRPr="00D723FF">
        <w:rPr>
          <w:rFonts w:cs="Times New Roman"/>
        </w:rPr>
        <w:t>2025 - 2026</w:t>
      </w:r>
    </w:p>
    <w:p w14:paraId="43C3A0D3" w14:textId="23D8A69C" w:rsidR="00866178" w:rsidRPr="00D723FF" w:rsidRDefault="00F62284" w:rsidP="00D723FF">
      <w:pPr>
        <w:pStyle w:val="Normal0"/>
        <w:spacing w:before="200" w:line="360" w:lineRule="auto"/>
        <w:jc w:val="center"/>
        <w:rPr>
          <w:rFonts w:cs="Times New Roman"/>
          <w:b/>
          <w:bCs/>
          <w:smallCaps/>
          <w:sz w:val="28"/>
          <w:szCs w:val="28"/>
        </w:rPr>
      </w:pPr>
      <w:r w:rsidRPr="00D723FF">
        <w:rPr>
          <w:rFonts w:cs="Times New Roman"/>
          <w:i/>
          <w:iCs/>
          <w:sz w:val="28"/>
          <w:szCs w:val="24"/>
        </w:rPr>
        <w:t>When does</w:t>
      </w:r>
      <w:r w:rsidR="00866178" w:rsidRPr="00D723FF">
        <w:rPr>
          <w:rFonts w:cs="Times New Roman"/>
          <w:i/>
          <w:iCs/>
          <w:sz w:val="28"/>
          <w:szCs w:val="24"/>
        </w:rPr>
        <w:t xml:space="preserve"> environmental destruction </w:t>
      </w:r>
      <w:r w:rsidRPr="00D723FF">
        <w:rPr>
          <w:rFonts w:cs="Times New Roman"/>
          <w:i/>
          <w:iCs/>
          <w:sz w:val="28"/>
          <w:szCs w:val="24"/>
        </w:rPr>
        <w:t>fall</w:t>
      </w:r>
      <w:r w:rsidR="00866178" w:rsidRPr="00D723FF">
        <w:rPr>
          <w:rFonts w:cs="Times New Roman"/>
          <w:i/>
          <w:iCs/>
          <w:sz w:val="28"/>
          <w:szCs w:val="24"/>
        </w:rPr>
        <w:t xml:space="preserve"> under </w:t>
      </w:r>
      <w:r w:rsidR="00721863" w:rsidRPr="00D723FF">
        <w:rPr>
          <w:rFonts w:cs="Times New Roman"/>
          <w:i/>
          <w:iCs/>
          <w:sz w:val="28"/>
          <w:szCs w:val="24"/>
        </w:rPr>
        <w:t>Article II (c) of the Genocide Convention</w:t>
      </w:r>
      <w:r w:rsidR="00866178" w:rsidRPr="00D723FF">
        <w:rPr>
          <w:rFonts w:cs="Times New Roman"/>
          <w:i/>
          <w:iCs/>
          <w:sz w:val="28"/>
          <w:szCs w:val="24"/>
        </w:rPr>
        <w:t>?</w:t>
      </w:r>
    </w:p>
    <w:p w14:paraId="42FD8ED3" w14:textId="77777777" w:rsidR="00866178" w:rsidRPr="00D723FF" w:rsidRDefault="00866178" w:rsidP="00D723FF">
      <w:pPr>
        <w:pStyle w:val="Normal0"/>
        <w:widowControl w:val="0"/>
        <w:spacing w:after="0" w:line="360" w:lineRule="auto"/>
        <w:jc w:val="both"/>
        <w:rPr>
          <w:rFonts w:cs="Times New Roman"/>
          <w:b/>
          <w:bCs/>
          <w:sz w:val="36"/>
          <w:szCs w:val="36"/>
        </w:rPr>
      </w:pPr>
    </w:p>
    <w:p w14:paraId="145D1C22" w14:textId="77777777" w:rsidR="00866178" w:rsidRPr="00D723FF" w:rsidRDefault="00866178" w:rsidP="00D723FF">
      <w:pPr>
        <w:pStyle w:val="Normal0"/>
        <w:widowControl w:val="0"/>
        <w:spacing w:after="0" w:line="360" w:lineRule="auto"/>
        <w:jc w:val="both"/>
        <w:rPr>
          <w:rFonts w:cs="Times New Roman"/>
          <w:b/>
          <w:bCs/>
          <w:sz w:val="36"/>
          <w:szCs w:val="36"/>
        </w:rPr>
      </w:pPr>
    </w:p>
    <w:p w14:paraId="530CF1E8" w14:textId="77777777" w:rsidR="00866178" w:rsidRPr="00D723FF" w:rsidRDefault="00866178" w:rsidP="00D723FF">
      <w:pPr>
        <w:pStyle w:val="Normal0"/>
        <w:widowControl w:val="0"/>
        <w:spacing w:after="0" w:line="360" w:lineRule="auto"/>
        <w:jc w:val="both"/>
        <w:rPr>
          <w:rFonts w:cs="Times New Roman"/>
          <w:b/>
          <w:bCs/>
          <w:sz w:val="36"/>
          <w:szCs w:val="36"/>
        </w:rPr>
      </w:pPr>
    </w:p>
    <w:p w14:paraId="32A93BE8" w14:textId="77777777" w:rsidR="00866178" w:rsidRPr="00D723FF" w:rsidRDefault="00866178" w:rsidP="00D723FF">
      <w:pPr>
        <w:pStyle w:val="Normal0"/>
        <w:widowControl w:val="0"/>
        <w:spacing w:after="0" w:line="360" w:lineRule="auto"/>
        <w:jc w:val="both"/>
        <w:rPr>
          <w:rFonts w:cs="Times New Roman"/>
          <w:b/>
          <w:bCs/>
          <w:sz w:val="36"/>
          <w:szCs w:val="36"/>
        </w:rPr>
      </w:pPr>
    </w:p>
    <w:p w14:paraId="42583CA1" w14:textId="77777777" w:rsidR="00866178" w:rsidRPr="00D723FF" w:rsidRDefault="00866178" w:rsidP="00D723FF">
      <w:pPr>
        <w:pStyle w:val="Normal0"/>
        <w:widowControl w:val="0"/>
        <w:spacing w:after="0" w:line="360" w:lineRule="auto"/>
        <w:jc w:val="both"/>
        <w:rPr>
          <w:rFonts w:cs="Times New Roman"/>
          <w:b/>
          <w:bCs/>
          <w:sz w:val="36"/>
          <w:szCs w:val="36"/>
        </w:rPr>
      </w:pPr>
    </w:p>
    <w:p w14:paraId="73E6D9CE" w14:textId="77777777" w:rsidR="00866178" w:rsidRPr="00D723FF" w:rsidRDefault="00866178" w:rsidP="00D723FF">
      <w:pPr>
        <w:pStyle w:val="Normal0"/>
        <w:widowControl w:val="0"/>
        <w:spacing w:after="0" w:line="360" w:lineRule="auto"/>
        <w:jc w:val="both"/>
        <w:rPr>
          <w:rFonts w:cs="Times New Roman"/>
          <w:b/>
          <w:bCs/>
          <w:sz w:val="36"/>
          <w:szCs w:val="36"/>
        </w:rPr>
      </w:pPr>
    </w:p>
    <w:p w14:paraId="216BF8F7" w14:textId="77777777" w:rsidR="00866178" w:rsidRPr="00D723FF" w:rsidRDefault="00866178" w:rsidP="00D723FF">
      <w:pPr>
        <w:pStyle w:val="Normal0"/>
        <w:widowControl w:val="0"/>
        <w:spacing w:after="0" w:line="360" w:lineRule="auto"/>
        <w:jc w:val="both"/>
        <w:rPr>
          <w:rFonts w:cs="Times New Roman"/>
          <w:b/>
          <w:bCs/>
          <w:sz w:val="36"/>
          <w:szCs w:val="36"/>
        </w:rPr>
      </w:pPr>
    </w:p>
    <w:tbl>
      <w:tblPr>
        <w:tblpPr w:leftFromText="141" w:rightFromText="141" w:vertAnchor="text" w:horzAnchor="margin" w:tblpY="486"/>
        <w:tblW w:w="9072" w:type="dxa"/>
        <w:tblBorders>
          <w:top w:val="nil"/>
          <w:left w:val="nil"/>
          <w:bottom w:val="nil"/>
          <w:right w:val="nil"/>
          <w:insideH w:val="nil"/>
          <w:insideV w:val="nil"/>
        </w:tblBorders>
        <w:tblLayout w:type="fixed"/>
        <w:tblLook w:val="0400" w:firstRow="0" w:lastRow="0" w:firstColumn="0" w:lastColumn="0" w:noHBand="0" w:noVBand="1"/>
      </w:tblPr>
      <w:tblGrid>
        <w:gridCol w:w="4532"/>
        <w:gridCol w:w="4540"/>
      </w:tblGrid>
      <w:tr w:rsidR="00866178" w:rsidRPr="00D723FF" w14:paraId="07302FC0" w14:textId="77777777" w:rsidTr="00DB0FB2">
        <w:trPr>
          <w:trHeight w:val="300"/>
        </w:trPr>
        <w:tc>
          <w:tcPr>
            <w:tcW w:w="4532" w:type="dxa"/>
          </w:tcPr>
          <w:p w14:paraId="463AF2B9" w14:textId="77777777" w:rsidR="00866178" w:rsidRPr="00D723FF" w:rsidRDefault="00866178" w:rsidP="00D723FF">
            <w:pPr>
              <w:pStyle w:val="Normal0"/>
              <w:spacing w:line="360" w:lineRule="auto"/>
              <w:rPr>
                <w:rFonts w:cs="Times New Roman"/>
                <w:smallCaps/>
                <w:color w:val="000000" w:themeColor="text1"/>
              </w:rPr>
            </w:pPr>
            <w:r w:rsidRPr="00D723FF">
              <w:rPr>
                <w:rFonts w:cs="Times New Roman"/>
                <w:color w:val="000000" w:themeColor="text1"/>
              </w:rPr>
              <w:t>Promotor: Marie Moens</w:t>
            </w:r>
          </w:p>
          <w:p w14:paraId="5E7E78A0" w14:textId="77777777" w:rsidR="00866178" w:rsidRPr="00D723FF" w:rsidRDefault="00866178" w:rsidP="00D723FF">
            <w:pPr>
              <w:pStyle w:val="Normal0"/>
              <w:spacing w:line="360" w:lineRule="auto"/>
              <w:rPr>
                <w:rFonts w:cs="Times New Roman"/>
                <w:smallCaps/>
                <w:color w:val="000000" w:themeColor="text1"/>
              </w:rPr>
            </w:pPr>
          </w:p>
        </w:tc>
        <w:tc>
          <w:tcPr>
            <w:tcW w:w="4540" w:type="dxa"/>
          </w:tcPr>
          <w:p w14:paraId="34E66EAA" w14:textId="77777777" w:rsidR="00866178" w:rsidRPr="00D723FF" w:rsidRDefault="00866178" w:rsidP="00D723FF">
            <w:pPr>
              <w:pStyle w:val="Normal0"/>
              <w:tabs>
                <w:tab w:val="right" w:pos="9072"/>
              </w:tabs>
              <w:spacing w:line="360" w:lineRule="auto"/>
              <w:jc w:val="right"/>
              <w:rPr>
                <w:rFonts w:cs="Times New Roman"/>
                <w:color w:val="000000"/>
              </w:rPr>
            </w:pPr>
            <w:r w:rsidRPr="00D723FF">
              <w:rPr>
                <w:rFonts w:cs="Times New Roman"/>
                <w:color w:val="000000" w:themeColor="text1"/>
              </w:rPr>
              <w:t>Filed by:</w:t>
            </w:r>
            <w:r w:rsidRPr="00D723FF">
              <w:rPr>
                <w:rFonts w:cs="Times New Roman"/>
                <w:color w:val="000000" w:themeColor="text1"/>
              </w:rPr>
              <w:br/>
              <w:t>Matteo MARSALA</w:t>
            </w:r>
            <w:r w:rsidRPr="00D723FF">
              <w:rPr>
                <w:rFonts w:cs="Times New Roman"/>
                <w:color w:val="000000" w:themeColor="text1"/>
              </w:rPr>
              <w:br/>
              <w:t>R0938980</w:t>
            </w:r>
          </w:p>
        </w:tc>
      </w:tr>
    </w:tbl>
    <w:p w14:paraId="2E0A5C12" w14:textId="77777777" w:rsidR="00866178" w:rsidRPr="00D723FF" w:rsidRDefault="00866178" w:rsidP="00D723FF">
      <w:pPr>
        <w:pStyle w:val="Normal0"/>
        <w:spacing w:after="0" w:line="360" w:lineRule="auto"/>
        <w:rPr>
          <w:rFonts w:cs="Times New Roman"/>
          <w:b/>
          <w:bCs/>
        </w:rPr>
      </w:pPr>
    </w:p>
    <w:p w14:paraId="1DCF351A" w14:textId="50EDD090" w:rsidR="00701EB4" w:rsidRPr="007B02D1" w:rsidRDefault="00701EB4" w:rsidP="007B02D1">
      <w:pPr>
        <w:pStyle w:val="Titel"/>
        <w:spacing w:line="360" w:lineRule="auto"/>
        <w:rPr>
          <w:rFonts w:ascii="Times New Roman" w:hAnsi="Times New Roman" w:cs="Times New Roman"/>
        </w:rPr>
      </w:pPr>
      <w:r w:rsidRPr="00D723FF">
        <w:rPr>
          <w:rFonts w:ascii="Times New Roman" w:hAnsi="Times New Roman" w:cs="Times New Roman"/>
        </w:rPr>
        <w:lastRenderedPageBreak/>
        <w:t xml:space="preserve">List </w:t>
      </w:r>
      <w:proofErr w:type="spellStart"/>
      <w:r w:rsidRPr="00D723FF">
        <w:rPr>
          <w:rFonts w:ascii="Times New Roman" w:hAnsi="Times New Roman" w:cs="Times New Roman"/>
        </w:rPr>
        <w:t>with</w:t>
      </w:r>
      <w:proofErr w:type="spellEnd"/>
      <w:r w:rsidRPr="00D723FF">
        <w:rPr>
          <w:rFonts w:ascii="Times New Roman" w:hAnsi="Times New Roman" w:cs="Times New Roman"/>
        </w:rPr>
        <w:t xml:space="preserve"> </w:t>
      </w:r>
      <w:proofErr w:type="spellStart"/>
      <w:r w:rsidRPr="00D723FF">
        <w:rPr>
          <w:rFonts w:ascii="Times New Roman" w:hAnsi="Times New Roman" w:cs="Times New Roman"/>
        </w:rPr>
        <w:t>abbreviations</w:t>
      </w:r>
      <w:proofErr w:type="spellEnd"/>
    </w:p>
    <w:p w14:paraId="640F979B" w14:textId="2E703D11" w:rsidR="00BE6030" w:rsidRPr="00D723FF" w:rsidRDefault="00BE6030" w:rsidP="007B02D1">
      <w:pPr>
        <w:pStyle w:val="Plattetekst"/>
        <w:tabs>
          <w:tab w:val="left" w:pos="2902"/>
        </w:tabs>
        <w:spacing w:before="137" w:after="240" w:line="360" w:lineRule="auto"/>
        <w:ind w:left="2832" w:right="721" w:hanging="2809"/>
        <w:jc w:val="both"/>
      </w:pPr>
      <w:r w:rsidRPr="00D723FF">
        <w:t>Additional Protocol I</w:t>
      </w:r>
      <w:r w:rsidRPr="00D723FF">
        <w:tab/>
        <w:t>Protocol Additional to the Geneva Conventions of 12 August 1949, and relating to the Protection of Victims of International Armed Conflicts</w:t>
      </w:r>
    </w:p>
    <w:p w14:paraId="45380B78" w14:textId="2C21F993" w:rsidR="00BE6030" w:rsidRPr="00D723FF" w:rsidRDefault="00BE6030" w:rsidP="007B02D1">
      <w:pPr>
        <w:pStyle w:val="Plattetekst"/>
        <w:tabs>
          <w:tab w:val="left" w:pos="2902"/>
        </w:tabs>
        <w:spacing w:before="137" w:after="240" w:line="360" w:lineRule="auto"/>
        <w:ind w:left="2832" w:right="721" w:hanging="2809"/>
        <w:jc w:val="both"/>
      </w:pPr>
      <w:r w:rsidRPr="00D723FF">
        <w:t>ECtHR</w:t>
      </w:r>
      <w:r w:rsidRPr="00D723FF">
        <w:tab/>
        <w:t>European Court of Human Rights</w:t>
      </w:r>
    </w:p>
    <w:p w14:paraId="121CE598" w14:textId="3FA80704" w:rsidR="00BE6030" w:rsidRPr="00D723FF" w:rsidRDefault="00BE6030" w:rsidP="007B02D1">
      <w:pPr>
        <w:pStyle w:val="Plattetekst"/>
        <w:tabs>
          <w:tab w:val="left" w:pos="2902"/>
        </w:tabs>
        <w:spacing w:before="137" w:after="240" w:line="360" w:lineRule="auto"/>
        <w:ind w:left="2832" w:right="721" w:hanging="2809"/>
        <w:jc w:val="both"/>
      </w:pPr>
      <w:r w:rsidRPr="00D723FF">
        <w:t>ENMOD</w:t>
      </w:r>
      <w:r w:rsidRPr="00D723FF">
        <w:tab/>
        <w:t>Convention on the prohibition of military or any other hostile use of environmental modification techniques</w:t>
      </w:r>
    </w:p>
    <w:p w14:paraId="261B03FD" w14:textId="1B986003" w:rsidR="00BE6030" w:rsidRPr="00D723FF" w:rsidRDefault="00BE6030" w:rsidP="007B02D1">
      <w:pPr>
        <w:pStyle w:val="Plattetekst"/>
        <w:tabs>
          <w:tab w:val="left" w:pos="2902"/>
        </w:tabs>
        <w:spacing w:before="137" w:after="240" w:line="360" w:lineRule="auto"/>
        <w:ind w:left="2832" w:right="721" w:hanging="2809"/>
        <w:jc w:val="both"/>
      </w:pPr>
      <w:r w:rsidRPr="00D723FF">
        <w:t>Genocide Convention</w:t>
      </w:r>
      <w:r w:rsidRPr="00D723FF">
        <w:tab/>
      </w:r>
      <w:proofErr w:type="spellStart"/>
      <w:r w:rsidRPr="00D723FF">
        <w:t>Convention</w:t>
      </w:r>
      <w:proofErr w:type="spellEnd"/>
      <w:r w:rsidRPr="00D723FF">
        <w:t xml:space="preserve"> on the Prevention and Punishment of the Crime of Genocide</w:t>
      </w:r>
    </w:p>
    <w:p w14:paraId="7574D833" w14:textId="20FCC182" w:rsidR="00BE6030" w:rsidRPr="00D723FF" w:rsidRDefault="00BE6030" w:rsidP="007B02D1">
      <w:pPr>
        <w:pStyle w:val="Plattetekst"/>
        <w:tabs>
          <w:tab w:val="left" w:pos="2879"/>
        </w:tabs>
        <w:spacing w:before="137" w:after="240" w:line="360" w:lineRule="auto"/>
        <w:ind w:left="2832" w:right="721" w:hanging="2809"/>
        <w:jc w:val="both"/>
      </w:pPr>
      <w:r w:rsidRPr="00D723FF">
        <w:t>IACTHR</w:t>
      </w:r>
      <w:r w:rsidRPr="00D723FF">
        <w:tab/>
        <w:t>Inter-American Court of Human Rights</w:t>
      </w:r>
    </w:p>
    <w:p w14:paraId="1E970DD2" w14:textId="36421A6E" w:rsidR="00BE6030" w:rsidRPr="00D723FF" w:rsidRDefault="00BE6030" w:rsidP="007B02D1">
      <w:pPr>
        <w:pStyle w:val="Plattetekst"/>
        <w:tabs>
          <w:tab w:val="left" w:pos="2902"/>
        </w:tabs>
        <w:spacing w:before="137" w:after="240" w:line="360" w:lineRule="auto"/>
        <w:ind w:left="2832" w:right="721" w:hanging="2809"/>
        <w:jc w:val="both"/>
      </w:pPr>
      <w:r w:rsidRPr="00D723FF">
        <w:t>ICC</w:t>
      </w:r>
      <w:r w:rsidRPr="00D723FF">
        <w:tab/>
        <w:t>International Criminal Court</w:t>
      </w:r>
    </w:p>
    <w:p w14:paraId="0AA14FCB" w14:textId="21E366E4" w:rsidR="00CE2926" w:rsidRPr="00D723FF" w:rsidRDefault="00BE6030" w:rsidP="007B02D1">
      <w:pPr>
        <w:pStyle w:val="Plattetekst"/>
        <w:tabs>
          <w:tab w:val="left" w:pos="2879"/>
        </w:tabs>
        <w:spacing w:before="137" w:after="240" w:line="360" w:lineRule="auto"/>
        <w:ind w:left="2832" w:right="721" w:hanging="2809"/>
        <w:jc w:val="both"/>
      </w:pPr>
      <w:r w:rsidRPr="00D723FF">
        <w:t>ICJ</w:t>
      </w:r>
      <w:r w:rsidRPr="00D723FF">
        <w:tab/>
      </w:r>
      <w:r w:rsidRPr="00D723FF">
        <w:tab/>
        <w:t>International Court Justice</w:t>
      </w:r>
    </w:p>
    <w:p w14:paraId="23F9FD58" w14:textId="7DD2FA90" w:rsidR="00BE6030" w:rsidRPr="00D723FF" w:rsidRDefault="00CE2926" w:rsidP="007B02D1">
      <w:pPr>
        <w:pStyle w:val="Plattetekst"/>
        <w:tabs>
          <w:tab w:val="left" w:pos="2879"/>
        </w:tabs>
        <w:spacing w:before="137" w:after="240" w:line="360" w:lineRule="auto"/>
        <w:ind w:right="721"/>
        <w:jc w:val="both"/>
      </w:pPr>
      <w:r w:rsidRPr="00D723FF">
        <w:t>ICJ-Statute</w:t>
      </w:r>
      <w:r w:rsidRPr="00D723FF">
        <w:tab/>
        <w:t>the Statute of the International Court of Justice</w:t>
      </w:r>
    </w:p>
    <w:p w14:paraId="7D46A2F1" w14:textId="4C052E6D" w:rsidR="00F761CD" w:rsidRPr="00D723FF" w:rsidRDefault="00BE6030" w:rsidP="007B02D1">
      <w:pPr>
        <w:pStyle w:val="Plattetekst"/>
        <w:tabs>
          <w:tab w:val="left" w:pos="2902"/>
        </w:tabs>
        <w:spacing w:before="137" w:after="240" w:line="360" w:lineRule="auto"/>
        <w:ind w:left="2832" w:right="721" w:hanging="2809"/>
        <w:jc w:val="both"/>
      </w:pPr>
      <w:r w:rsidRPr="00D723FF">
        <w:t>ICTR</w:t>
      </w:r>
      <w:r w:rsidRPr="00D723FF">
        <w:tab/>
        <w:t xml:space="preserve">International Criminal Tribunal </w:t>
      </w:r>
      <w:proofErr w:type="gramStart"/>
      <w:r w:rsidRPr="00D723FF">
        <w:t>For</w:t>
      </w:r>
      <w:proofErr w:type="gramEnd"/>
      <w:r w:rsidRPr="00D723FF">
        <w:t xml:space="preserve"> Rwanda</w:t>
      </w:r>
    </w:p>
    <w:p w14:paraId="4878DA75" w14:textId="6D936E8E" w:rsidR="00BE6030" w:rsidRPr="00D723FF" w:rsidRDefault="00F761CD" w:rsidP="007B02D1">
      <w:pPr>
        <w:pStyle w:val="Plattetekst"/>
        <w:tabs>
          <w:tab w:val="left" w:pos="2902"/>
        </w:tabs>
        <w:spacing w:before="137" w:after="240" w:line="360" w:lineRule="auto"/>
        <w:ind w:left="2832" w:right="721" w:hanging="2809"/>
        <w:jc w:val="both"/>
      </w:pPr>
      <w:r w:rsidRPr="00D723FF">
        <w:t>IHL</w:t>
      </w:r>
      <w:r w:rsidRPr="00D723FF">
        <w:tab/>
        <w:t>International Humanitarian Law</w:t>
      </w:r>
    </w:p>
    <w:p w14:paraId="5F618AE6" w14:textId="3A3CFE1F" w:rsidR="00BE6030" w:rsidRPr="00D723FF" w:rsidRDefault="00BE6030" w:rsidP="007B02D1">
      <w:pPr>
        <w:pStyle w:val="Plattetekst"/>
        <w:tabs>
          <w:tab w:val="left" w:pos="2902"/>
        </w:tabs>
        <w:spacing w:before="137" w:after="240" w:line="360" w:lineRule="auto"/>
        <w:ind w:left="2832" w:right="721" w:hanging="2809"/>
        <w:jc w:val="both"/>
      </w:pPr>
      <w:r w:rsidRPr="00D723FF">
        <w:t>ILC</w:t>
      </w:r>
      <w:r w:rsidRPr="00D723FF">
        <w:tab/>
        <w:t>International Law Commission</w:t>
      </w:r>
      <w:r w:rsidR="007B02D1">
        <w:tab/>
      </w:r>
    </w:p>
    <w:p w14:paraId="4C5779F1" w14:textId="629A5E9F" w:rsidR="00BE6030" w:rsidRPr="00D723FF" w:rsidRDefault="00BE6030" w:rsidP="007B02D1">
      <w:pPr>
        <w:pStyle w:val="Plattetekst"/>
        <w:tabs>
          <w:tab w:val="left" w:pos="2902"/>
        </w:tabs>
        <w:spacing w:before="137" w:after="240" w:line="360" w:lineRule="auto"/>
        <w:ind w:left="2832" w:right="721" w:hanging="2809"/>
        <w:jc w:val="both"/>
      </w:pPr>
      <w:r w:rsidRPr="00D723FF">
        <w:t>ICTY</w:t>
      </w:r>
      <w:r w:rsidRPr="00D723FF">
        <w:tab/>
      </w:r>
      <w:r w:rsidRPr="00D723FF">
        <w:tab/>
        <w:t xml:space="preserve">International Criminal Tribunal for the former Yugoslavia </w:t>
      </w:r>
    </w:p>
    <w:p w14:paraId="15AE9997" w14:textId="572CD27A" w:rsidR="00BE6030" w:rsidRPr="00D723FF" w:rsidRDefault="00BE6030" w:rsidP="007B02D1">
      <w:pPr>
        <w:pStyle w:val="Plattetekst"/>
        <w:tabs>
          <w:tab w:val="left" w:pos="2902"/>
        </w:tabs>
        <w:spacing w:before="137" w:after="240" w:line="360" w:lineRule="auto"/>
        <w:ind w:left="2832" w:right="721" w:hanging="2809"/>
        <w:jc w:val="both"/>
      </w:pPr>
      <w:r w:rsidRPr="00D723FF">
        <w:t>Rome Statute</w:t>
      </w:r>
      <w:r w:rsidRPr="00D723FF">
        <w:tab/>
        <w:t xml:space="preserve">Rome Statute of the International Criminal Court </w:t>
      </w:r>
    </w:p>
    <w:p w14:paraId="1D429CF9" w14:textId="1B3F3329" w:rsidR="00BB6E72" w:rsidRPr="00D723FF" w:rsidRDefault="00BE6030" w:rsidP="007B02D1">
      <w:pPr>
        <w:pStyle w:val="Plattetekst"/>
        <w:tabs>
          <w:tab w:val="left" w:pos="2902"/>
        </w:tabs>
        <w:spacing w:before="137" w:after="240" w:line="360" w:lineRule="auto"/>
        <w:ind w:left="2832" w:right="721" w:hanging="2809"/>
        <w:jc w:val="both"/>
      </w:pPr>
      <w:r w:rsidRPr="00D723FF">
        <w:t>UNEP</w:t>
      </w:r>
      <w:r w:rsidRPr="00D723FF">
        <w:tab/>
        <w:t xml:space="preserve">United Nations Environment </w:t>
      </w:r>
      <w:proofErr w:type="spellStart"/>
      <w:r w:rsidRPr="00D723FF">
        <w:t>Programme</w:t>
      </w:r>
      <w:proofErr w:type="spellEnd"/>
    </w:p>
    <w:p w14:paraId="3C1A95F0" w14:textId="6B6DA196" w:rsidR="00BE6030" w:rsidRPr="00D723FF" w:rsidRDefault="00BB6E72" w:rsidP="007B02D1">
      <w:pPr>
        <w:pStyle w:val="Plattetekst"/>
        <w:tabs>
          <w:tab w:val="left" w:pos="2902"/>
        </w:tabs>
        <w:spacing w:before="137" w:after="240" w:line="360" w:lineRule="auto"/>
        <w:ind w:left="2832" w:right="721" w:hanging="2809"/>
        <w:jc w:val="both"/>
      </w:pPr>
      <w:r w:rsidRPr="00D723FF">
        <w:t>UNGA</w:t>
      </w:r>
      <w:r w:rsidRPr="00D723FF">
        <w:tab/>
        <w:t xml:space="preserve">United Nations General Assembly </w:t>
      </w:r>
    </w:p>
    <w:p w14:paraId="62936EEF" w14:textId="3C859338" w:rsidR="00D723FF" w:rsidRPr="00D723FF" w:rsidRDefault="00BE6030" w:rsidP="007B02D1">
      <w:pPr>
        <w:pStyle w:val="Plattetekst"/>
        <w:tabs>
          <w:tab w:val="left" w:pos="2902"/>
        </w:tabs>
        <w:spacing w:before="137" w:after="240" w:line="360" w:lineRule="auto"/>
        <w:ind w:left="2832" w:right="721" w:hanging="2809"/>
        <w:jc w:val="both"/>
      </w:pPr>
      <w:r w:rsidRPr="00D723FF">
        <w:t>VCLT</w:t>
      </w:r>
      <w:r w:rsidRPr="00D723FF">
        <w:tab/>
        <w:t>Vienna Convention on the law of treaties</w:t>
      </w:r>
    </w:p>
    <w:p w14:paraId="55CF7F28" w14:textId="1AB2E4A9" w:rsidR="00121A8D" w:rsidRPr="007B02D1" w:rsidRDefault="00D723FF" w:rsidP="007B02D1">
      <w:pPr>
        <w:pStyle w:val="Plattetekst"/>
        <w:tabs>
          <w:tab w:val="left" w:pos="2902"/>
        </w:tabs>
        <w:spacing w:before="137" w:after="240" w:line="360" w:lineRule="auto"/>
        <w:ind w:left="2832" w:right="721" w:hanging="2809"/>
        <w:jc w:val="both"/>
      </w:pPr>
      <w:r w:rsidRPr="00D723FF">
        <w:t>WHO</w:t>
      </w:r>
      <w:r w:rsidRPr="00D723FF">
        <w:tab/>
        <w:t>World Health Organization</w:t>
      </w:r>
    </w:p>
    <w:p w14:paraId="5E541345" w14:textId="54015889" w:rsidR="00121A8D" w:rsidRPr="00D723FF" w:rsidRDefault="00121A8D" w:rsidP="00D723FF">
      <w:pPr>
        <w:pStyle w:val="Kop1"/>
        <w:spacing w:line="360" w:lineRule="auto"/>
        <w:rPr>
          <w:rFonts w:ascii="Times New Roman" w:hAnsi="Times New Roman" w:cs="Times New Roman"/>
        </w:rPr>
      </w:pPr>
      <w:bookmarkStart w:id="0" w:name="_Toc230376177"/>
      <w:r w:rsidRPr="00D723FF">
        <w:rPr>
          <w:rFonts w:ascii="Times New Roman" w:hAnsi="Times New Roman" w:cs="Times New Roman"/>
        </w:rPr>
        <w:lastRenderedPageBreak/>
        <w:t>Abstract</w:t>
      </w:r>
      <w:bookmarkEnd w:id="0"/>
    </w:p>
    <w:p w14:paraId="6A801809" w14:textId="1829B321" w:rsidR="00121A8D" w:rsidRPr="00D723FF" w:rsidRDefault="00121A8D" w:rsidP="00D723FF">
      <w:pPr>
        <w:pStyle w:val="Normal0"/>
        <w:spacing w:after="0" w:line="360" w:lineRule="auto"/>
        <w:jc w:val="both"/>
        <w:rPr>
          <w:rFonts w:cs="Times New Roman"/>
        </w:rPr>
      </w:pPr>
      <w:r w:rsidRPr="00D723FF">
        <w:rPr>
          <w:rFonts w:cs="Times New Roman"/>
        </w:rPr>
        <w:t>This research examines whether, and under which cumulative conditions, environmental destruction may fall within the definition of genocide under Article II(c) of the 1948 Genocide Convention. It focuses specifically on the interpretation of “conditions of life calculated to bring about the physical destruction” of a protected group and analyses the extent to which environmental destruction may constitute an indirect method of genocidal destruction. Particular attention is given to the thresholds of physical destruction and the requirement of genocidal intent (</w:t>
      </w:r>
      <w:r w:rsidRPr="00D723FF">
        <w:rPr>
          <w:rFonts w:cs="Times New Roman"/>
          <w:i/>
          <w:iCs/>
        </w:rPr>
        <w:t>dolus specialis</w:t>
      </w:r>
      <w:r w:rsidRPr="00D723FF">
        <w:rPr>
          <w:rFonts w:cs="Times New Roman"/>
        </w:rPr>
        <w:t>).</w:t>
      </w:r>
      <w:r w:rsidRPr="00D723FF">
        <w:rPr>
          <w:rFonts w:cs="Times New Roman"/>
        </w:rPr>
        <w:tab/>
      </w:r>
      <w:r w:rsidRPr="00D723FF">
        <w:rPr>
          <w:rFonts w:cs="Times New Roman"/>
        </w:rPr>
        <w:br/>
      </w:r>
    </w:p>
    <w:p w14:paraId="4F26F67F" w14:textId="77777777" w:rsidR="00121A8D" w:rsidRPr="00D723FF" w:rsidRDefault="00121A8D" w:rsidP="00D723FF">
      <w:pPr>
        <w:pStyle w:val="Normal0"/>
        <w:spacing w:after="0" w:line="360" w:lineRule="auto"/>
        <w:jc w:val="both"/>
        <w:rPr>
          <w:rFonts w:cs="Times New Roman"/>
        </w:rPr>
      </w:pPr>
      <w:r w:rsidRPr="00D723FF">
        <w:rPr>
          <w:rFonts w:cs="Times New Roman"/>
        </w:rPr>
        <w:t>The research adopts a doctrinal, interpretative, and jurisprudential approach. The interpretation of Article II(c) is primarily guided by Articles 31 and 32 of the Vienna Convention on the Law of Treaties, while the practical application of the provision is examined through the jurisprudence of the ICTR, ICTY, ICC, and ICJ.</w:t>
      </w:r>
    </w:p>
    <w:p w14:paraId="64BF5929" w14:textId="77777777" w:rsidR="00121A8D" w:rsidRPr="00D723FF" w:rsidRDefault="00121A8D" w:rsidP="00D723FF">
      <w:pPr>
        <w:pStyle w:val="Normal0"/>
        <w:spacing w:after="0" w:line="360" w:lineRule="auto"/>
        <w:jc w:val="both"/>
        <w:rPr>
          <w:rFonts w:cs="Times New Roman"/>
        </w:rPr>
      </w:pPr>
    </w:p>
    <w:p w14:paraId="24CB4F30" w14:textId="77777777" w:rsidR="00121A8D" w:rsidRPr="00D723FF" w:rsidRDefault="00121A8D" w:rsidP="00D723FF">
      <w:pPr>
        <w:pStyle w:val="Normal0"/>
        <w:spacing w:after="0" w:line="360" w:lineRule="auto"/>
        <w:jc w:val="both"/>
        <w:rPr>
          <w:rFonts w:cs="Times New Roman"/>
        </w:rPr>
      </w:pPr>
      <w:r w:rsidRPr="00D723FF">
        <w:rPr>
          <w:rFonts w:cs="Times New Roman"/>
        </w:rPr>
        <w:t xml:space="preserve">Following the introduction and research framework, Chapter 1 examines the historical development and constitutive elements of genocide under international law. Chapter 2 analyses the concept of environmental destruction and its regulation under international humanitarian law, particularly in relation to the protection of civilian survival conditions. Chapter 3 examines the interpretation of Article II(c), focusing on indirect forms of destruction, the threshold of physical destruction, and the distinction between genocide and other forms of environmental harm. Chapter 4 subsequently applies these interpretative elements to environmental destruction and examines under which conditions such conduct may satisfy the </w:t>
      </w:r>
      <w:r w:rsidRPr="00D723FF">
        <w:rPr>
          <w:rFonts w:cs="Times New Roman"/>
          <w:i/>
          <w:iCs/>
        </w:rPr>
        <w:t>actus reus</w:t>
      </w:r>
      <w:r w:rsidRPr="00D723FF">
        <w:rPr>
          <w:rFonts w:cs="Times New Roman"/>
        </w:rPr>
        <w:t xml:space="preserve"> and </w:t>
      </w:r>
      <w:r w:rsidRPr="00D723FF">
        <w:rPr>
          <w:rFonts w:cs="Times New Roman"/>
          <w:i/>
          <w:iCs/>
        </w:rPr>
        <w:t>mens rea</w:t>
      </w:r>
      <w:r w:rsidRPr="00D723FF">
        <w:rPr>
          <w:rFonts w:cs="Times New Roman"/>
        </w:rPr>
        <w:t xml:space="preserve"> requirements of genocide.</w:t>
      </w:r>
    </w:p>
    <w:p w14:paraId="0D9D4C75" w14:textId="77777777" w:rsidR="00121A8D" w:rsidRPr="00D723FF" w:rsidRDefault="00121A8D" w:rsidP="00D723FF">
      <w:pPr>
        <w:pStyle w:val="Normal0"/>
        <w:spacing w:after="0" w:line="360" w:lineRule="auto"/>
        <w:jc w:val="both"/>
        <w:rPr>
          <w:rFonts w:cs="Times New Roman"/>
        </w:rPr>
      </w:pPr>
    </w:p>
    <w:p w14:paraId="6D9523FA" w14:textId="77777777" w:rsidR="007B02D1" w:rsidRDefault="00121A8D" w:rsidP="00D723FF">
      <w:pPr>
        <w:pStyle w:val="Normal0"/>
        <w:spacing w:after="0" w:line="360" w:lineRule="auto"/>
        <w:jc w:val="both"/>
        <w:rPr>
          <w:rFonts w:cs="Times New Roman"/>
        </w:rPr>
      </w:pPr>
      <w:r w:rsidRPr="00D723FF">
        <w:rPr>
          <w:rFonts w:cs="Times New Roman"/>
        </w:rPr>
        <w:t xml:space="preserve">This research concludes that international criminal law does not exclude environmental destruction from the scope of Article II(c) of the Genocide Convention. Environmental destruction may, under certain circumstances, function as an indirect method of destruction by undermining the conditions necessary for the survival of a protected group. </w:t>
      </w:r>
      <w:r w:rsidR="00E835B6" w:rsidRPr="00D723FF">
        <w:rPr>
          <w:rFonts w:cs="Times New Roman"/>
        </w:rPr>
        <w:t>Yet</w:t>
      </w:r>
      <w:r w:rsidRPr="00D723FF">
        <w:rPr>
          <w:rFonts w:cs="Times New Roman"/>
        </w:rPr>
        <w:t xml:space="preserve">, the threshold for qualification as genocide remains exceptionally high. Environmental destruction will only fall within the scope of the Genocide Convention where it forms part of a deliberate process aimed at the physical destruction of a protected group as such and is accompanied by the required </w:t>
      </w:r>
      <w:r w:rsidRPr="00D723FF">
        <w:rPr>
          <w:rFonts w:cs="Times New Roman"/>
          <w:i/>
          <w:iCs/>
        </w:rPr>
        <w:t>dolus specialis</w:t>
      </w:r>
      <w:r w:rsidRPr="00D723FF">
        <w:rPr>
          <w:rFonts w:cs="Times New Roman"/>
        </w:rPr>
        <w:t xml:space="preserve">. </w:t>
      </w:r>
    </w:p>
    <w:p w14:paraId="49684522" w14:textId="0D9219CC" w:rsidR="00BE6030" w:rsidRPr="00D723FF" w:rsidRDefault="00121A8D" w:rsidP="00D723FF">
      <w:pPr>
        <w:pStyle w:val="Normal0"/>
        <w:spacing w:after="0" w:line="360" w:lineRule="auto"/>
        <w:jc w:val="both"/>
        <w:rPr>
          <w:rFonts w:cs="Times New Roman"/>
        </w:rPr>
      </w:pPr>
      <w:r w:rsidRPr="00D723FF">
        <w:rPr>
          <w:rFonts w:cs="Times New Roman"/>
        </w:rPr>
        <w:lastRenderedPageBreak/>
        <w:t>The analysis therefore demonstrates both the interpretative potential and the strict legal limits of Article II(c) in relation to environmentally mediated forms of destruction.</w:t>
      </w:r>
      <w:r w:rsidR="007B02D1">
        <w:rPr>
          <w:rFonts w:cs="Times New Roman"/>
        </w:rPr>
        <w:tab/>
      </w:r>
      <w:r w:rsidRPr="00D723FF">
        <w:rPr>
          <w:rFonts w:cs="Times New Roman"/>
        </w:rPr>
        <w:br/>
      </w:r>
    </w:p>
    <w:p w14:paraId="6E98F4C7" w14:textId="77777777" w:rsidR="00333D83" w:rsidRPr="00D723FF" w:rsidRDefault="00333D83" w:rsidP="00D723FF">
      <w:pPr>
        <w:pStyle w:val="Normal0"/>
        <w:spacing w:after="0" w:line="360" w:lineRule="auto"/>
        <w:jc w:val="both"/>
        <w:rPr>
          <w:rFonts w:cs="Times New Roman"/>
        </w:rPr>
      </w:pPr>
    </w:p>
    <w:p w14:paraId="22D39AC9" w14:textId="77777777" w:rsidR="00333D83" w:rsidRPr="00D723FF" w:rsidRDefault="00333D83" w:rsidP="00D723FF">
      <w:pPr>
        <w:pStyle w:val="Normal0"/>
        <w:spacing w:after="0" w:line="360" w:lineRule="auto"/>
        <w:jc w:val="both"/>
        <w:rPr>
          <w:rFonts w:cs="Times New Roman"/>
        </w:rPr>
      </w:pPr>
    </w:p>
    <w:p w14:paraId="4E566F49" w14:textId="77777777" w:rsidR="00333D83" w:rsidRPr="00D723FF" w:rsidRDefault="00333D83" w:rsidP="00D723FF">
      <w:pPr>
        <w:pStyle w:val="Normal0"/>
        <w:spacing w:after="0" w:line="360" w:lineRule="auto"/>
        <w:jc w:val="both"/>
        <w:rPr>
          <w:rFonts w:cs="Times New Roman"/>
        </w:rPr>
      </w:pPr>
    </w:p>
    <w:p w14:paraId="213439F0" w14:textId="77777777" w:rsidR="00333D83" w:rsidRPr="00D723FF" w:rsidRDefault="00333D83" w:rsidP="00D723FF">
      <w:pPr>
        <w:pStyle w:val="Normal0"/>
        <w:spacing w:after="0" w:line="360" w:lineRule="auto"/>
        <w:jc w:val="both"/>
        <w:rPr>
          <w:rFonts w:cs="Times New Roman"/>
        </w:rPr>
      </w:pPr>
    </w:p>
    <w:p w14:paraId="5BF7D07F" w14:textId="77777777" w:rsidR="00333D83" w:rsidRPr="00D723FF" w:rsidRDefault="00333D83" w:rsidP="00D723FF">
      <w:pPr>
        <w:pStyle w:val="Normal0"/>
        <w:spacing w:after="0" w:line="360" w:lineRule="auto"/>
        <w:jc w:val="both"/>
        <w:rPr>
          <w:rFonts w:cs="Times New Roman"/>
        </w:rPr>
      </w:pPr>
    </w:p>
    <w:p w14:paraId="0F5FE6AE" w14:textId="77777777" w:rsidR="00333D83" w:rsidRPr="00D723FF" w:rsidRDefault="00333D83" w:rsidP="00D723FF">
      <w:pPr>
        <w:pStyle w:val="Normal0"/>
        <w:spacing w:after="0" w:line="360" w:lineRule="auto"/>
        <w:jc w:val="both"/>
        <w:rPr>
          <w:rFonts w:cs="Times New Roman"/>
        </w:rPr>
      </w:pPr>
    </w:p>
    <w:p w14:paraId="33502EE3" w14:textId="77777777" w:rsidR="00333D83" w:rsidRPr="00D723FF" w:rsidRDefault="00333D83" w:rsidP="00D723FF">
      <w:pPr>
        <w:pStyle w:val="Normal0"/>
        <w:spacing w:after="0" w:line="360" w:lineRule="auto"/>
        <w:jc w:val="both"/>
        <w:rPr>
          <w:rFonts w:cs="Times New Roman"/>
        </w:rPr>
      </w:pPr>
    </w:p>
    <w:p w14:paraId="3A8DAD95" w14:textId="77777777" w:rsidR="00333D83" w:rsidRPr="00D723FF" w:rsidRDefault="00333D83" w:rsidP="00D723FF">
      <w:pPr>
        <w:pStyle w:val="Normal0"/>
        <w:spacing w:after="0" w:line="360" w:lineRule="auto"/>
        <w:jc w:val="both"/>
        <w:rPr>
          <w:rFonts w:cs="Times New Roman"/>
        </w:rPr>
      </w:pPr>
    </w:p>
    <w:p w14:paraId="53CE3313" w14:textId="77777777" w:rsidR="00333D83" w:rsidRPr="00D723FF" w:rsidRDefault="00333D83" w:rsidP="00D723FF">
      <w:pPr>
        <w:pStyle w:val="Normal0"/>
        <w:spacing w:after="0" w:line="360" w:lineRule="auto"/>
        <w:jc w:val="both"/>
        <w:rPr>
          <w:rFonts w:cs="Times New Roman"/>
        </w:rPr>
      </w:pPr>
    </w:p>
    <w:p w14:paraId="5DFD8FD8" w14:textId="77777777" w:rsidR="00333D83" w:rsidRPr="00D723FF" w:rsidRDefault="00333D83" w:rsidP="00D723FF">
      <w:pPr>
        <w:pStyle w:val="Normal0"/>
        <w:spacing w:after="0" w:line="360" w:lineRule="auto"/>
        <w:jc w:val="both"/>
        <w:rPr>
          <w:rFonts w:cs="Times New Roman"/>
        </w:rPr>
      </w:pPr>
    </w:p>
    <w:p w14:paraId="61E2B755" w14:textId="77777777" w:rsidR="00333D83" w:rsidRPr="00D723FF" w:rsidRDefault="00333D83" w:rsidP="00D723FF">
      <w:pPr>
        <w:pStyle w:val="Normal0"/>
        <w:spacing w:after="0" w:line="360" w:lineRule="auto"/>
        <w:jc w:val="both"/>
        <w:rPr>
          <w:rFonts w:cs="Times New Roman"/>
        </w:rPr>
      </w:pPr>
    </w:p>
    <w:p w14:paraId="08ABA54A" w14:textId="77777777" w:rsidR="00333D83" w:rsidRPr="00D723FF" w:rsidRDefault="00333D83" w:rsidP="00D723FF">
      <w:pPr>
        <w:pStyle w:val="Normal0"/>
        <w:spacing w:after="0" w:line="360" w:lineRule="auto"/>
        <w:jc w:val="both"/>
        <w:rPr>
          <w:rFonts w:cs="Times New Roman"/>
        </w:rPr>
      </w:pPr>
    </w:p>
    <w:p w14:paraId="1EC0798B" w14:textId="77777777" w:rsidR="00333D83" w:rsidRPr="00D723FF" w:rsidRDefault="00333D83" w:rsidP="00D723FF">
      <w:pPr>
        <w:pStyle w:val="Normal0"/>
        <w:spacing w:after="0" w:line="360" w:lineRule="auto"/>
        <w:jc w:val="both"/>
        <w:rPr>
          <w:rFonts w:cs="Times New Roman"/>
        </w:rPr>
      </w:pPr>
    </w:p>
    <w:p w14:paraId="773CDE59" w14:textId="77777777" w:rsidR="00333D83" w:rsidRPr="00D723FF" w:rsidRDefault="00333D83" w:rsidP="00D723FF">
      <w:pPr>
        <w:pStyle w:val="Normal0"/>
        <w:spacing w:after="0" w:line="360" w:lineRule="auto"/>
        <w:jc w:val="both"/>
        <w:rPr>
          <w:rFonts w:cs="Times New Roman"/>
        </w:rPr>
      </w:pPr>
    </w:p>
    <w:p w14:paraId="0C7A6D48" w14:textId="77777777" w:rsidR="00333D83" w:rsidRPr="00D723FF" w:rsidRDefault="00333D83" w:rsidP="00D723FF">
      <w:pPr>
        <w:pStyle w:val="Normal0"/>
        <w:spacing w:after="0" w:line="360" w:lineRule="auto"/>
        <w:jc w:val="both"/>
        <w:rPr>
          <w:rFonts w:cs="Times New Roman"/>
        </w:rPr>
      </w:pPr>
    </w:p>
    <w:p w14:paraId="6EA0AFDE" w14:textId="77777777" w:rsidR="00333D83" w:rsidRPr="00D723FF" w:rsidRDefault="00333D83" w:rsidP="00D723FF">
      <w:pPr>
        <w:pStyle w:val="Normal0"/>
        <w:spacing w:after="0" w:line="360" w:lineRule="auto"/>
        <w:jc w:val="both"/>
        <w:rPr>
          <w:rFonts w:cs="Times New Roman"/>
        </w:rPr>
      </w:pPr>
    </w:p>
    <w:p w14:paraId="67AFD518" w14:textId="77777777" w:rsidR="00333D83" w:rsidRPr="00D723FF" w:rsidRDefault="00333D83" w:rsidP="00D723FF">
      <w:pPr>
        <w:pStyle w:val="Normal0"/>
        <w:spacing w:after="0" w:line="360" w:lineRule="auto"/>
        <w:jc w:val="both"/>
        <w:rPr>
          <w:rFonts w:cs="Times New Roman"/>
        </w:rPr>
      </w:pPr>
    </w:p>
    <w:p w14:paraId="09FA1137" w14:textId="77777777" w:rsidR="00333D83" w:rsidRPr="00D723FF" w:rsidRDefault="00333D83" w:rsidP="00D723FF">
      <w:pPr>
        <w:pStyle w:val="Normal0"/>
        <w:spacing w:after="0" w:line="360" w:lineRule="auto"/>
        <w:jc w:val="both"/>
        <w:rPr>
          <w:rFonts w:cs="Times New Roman"/>
        </w:rPr>
      </w:pPr>
    </w:p>
    <w:p w14:paraId="2E397923" w14:textId="77777777" w:rsidR="00333D83" w:rsidRPr="00D723FF" w:rsidRDefault="00333D83" w:rsidP="00D723FF">
      <w:pPr>
        <w:pStyle w:val="Normal0"/>
        <w:spacing w:after="0" w:line="360" w:lineRule="auto"/>
        <w:jc w:val="both"/>
        <w:rPr>
          <w:rFonts w:cs="Times New Roman"/>
        </w:rPr>
      </w:pPr>
    </w:p>
    <w:p w14:paraId="1F1EC4C1" w14:textId="77777777" w:rsidR="00333D83" w:rsidRPr="00D723FF" w:rsidRDefault="00333D83" w:rsidP="00D723FF">
      <w:pPr>
        <w:pStyle w:val="Normal0"/>
        <w:spacing w:after="0" w:line="360" w:lineRule="auto"/>
        <w:jc w:val="both"/>
        <w:rPr>
          <w:rFonts w:cs="Times New Roman"/>
        </w:rPr>
      </w:pPr>
    </w:p>
    <w:p w14:paraId="0ABD8241" w14:textId="77777777" w:rsidR="00333D83" w:rsidRPr="00D723FF" w:rsidRDefault="00333D83" w:rsidP="00D723FF">
      <w:pPr>
        <w:pStyle w:val="Normal0"/>
        <w:spacing w:after="0" w:line="360" w:lineRule="auto"/>
        <w:jc w:val="both"/>
        <w:rPr>
          <w:rFonts w:cs="Times New Roman"/>
        </w:rPr>
      </w:pPr>
    </w:p>
    <w:p w14:paraId="1AC2BA0D" w14:textId="77777777" w:rsidR="00333D83" w:rsidRPr="00D723FF" w:rsidRDefault="00333D83" w:rsidP="00D723FF">
      <w:pPr>
        <w:pStyle w:val="Normal0"/>
        <w:spacing w:after="0" w:line="360" w:lineRule="auto"/>
        <w:jc w:val="both"/>
        <w:rPr>
          <w:rFonts w:cs="Times New Roman"/>
        </w:rPr>
      </w:pPr>
    </w:p>
    <w:p w14:paraId="28E1C6F5" w14:textId="77777777" w:rsidR="00333D83" w:rsidRPr="00D723FF" w:rsidRDefault="00333D83" w:rsidP="00D723FF">
      <w:pPr>
        <w:pStyle w:val="Normal0"/>
        <w:spacing w:after="0" w:line="360" w:lineRule="auto"/>
        <w:jc w:val="both"/>
        <w:rPr>
          <w:rFonts w:cs="Times New Roman"/>
        </w:rPr>
      </w:pPr>
    </w:p>
    <w:p w14:paraId="59D8B7F3" w14:textId="77777777" w:rsidR="00333D83" w:rsidRPr="00D723FF" w:rsidRDefault="00333D83" w:rsidP="00D723FF">
      <w:pPr>
        <w:pStyle w:val="Normal0"/>
        <w:spacing w:after="0" w:line="360" w:lineRule="auto"/>
        <w:jc w:val="both"/>
        <w:rPr>
          <w:rFonts w:cs="Times New Roman"/>
        </w:rPr>
      </w:pPr>
    </w:p>
    <w:p w14:paraId="622612FA" w14:textId="77777777" w:rsidR="00333D83" w:rsidRPr="00D723FF" w:rsidRDefault="00333D83" w:rsidP="00D723FF">
      <w:pPr>
        <w:pStyle w:val="Normal0"/>
        <w:spacing w:after="0" w:line="360" w:lineRule="auto"/>
        <w:jc w:val="both"/>
        <w:rPr>
          <w:rFonts w:cs="Times New Roman"/>
        </w:rPr>
      </w:pPr>
    </w:p>
    <w:p w14:paraId="12C25A49" w14:textId="77777777" w:rsidR="00333D83" w:rsidRPr="00D723FF" w:rsidRDefault="00333D83" w:rsidP="00D723FF">
      <w:pPr>
        <w:pStyle w:val="Normal0"/>
        <w:spacing w:after="0" w:line="360" w:lineRule="auto"/>
        <w:jc w:val="both"/>
        <w:rPr>
          <w:rFonts w:cs="Times New Roman"/>
        </w:rPr>
      </w:pPr>
    </w:p>
    <w:p w14:paraId="54E5C833" w14:textId="77777777" w:rsidR="00333D83" w:rsidRPr="00D723FF" w:rsidRDefault="00333D83" w:rsidP="00D723FF">
      <w:pPr>
        <w:pStyle w:val="Normal0"/>
        <w:spacing w:after="0" w:line="360" w:lineRule="auto"/>
        <w:jc w:val="both"/>
        <w:rPr>
          <w:rFonts w:cs="Times New Roman"/>
        </w:rPr>
      </w:pPr>
    </w:p>
    <w:p w14:paraId="0421557E" w14:textId="77777777" w:rsidR="00333D83" w:rsidRPr="00D723FF" w:rsidRDefault="00333D83" w:rsidP="00D723FF">
      <w:pPr>
        <w:pStyle w:val="Normal0"/>
        <w:spacing w:after="0" w:line="360" w:lineRule="auto"/>
        <w:jc w:val="both"/>
        <w:rPr>
          <w:rFonts w:cs="Times New Roman"/>
        </w:rPr>
      </w:pPr>
    </w:p>
    <w:p w14:paraId="6B5DBE20" w14:textId="77777777" w:rsidR="00333D83" w:rsidRPr="00D723FF" w:rsidRDefault="00333D83" w:rsidP="00D723FF">
      <w:pPr>
        <w:pStyle w:val="Normal0"/>
        <w:spacing w:after="0" w:line="360" w:lineRule="auto"/>
        <w:jc w:val="both"/>
        <w:rPr>
          <w:rFonts w:cs="Times New Roman"/>
        </w:rPr>
      </w:pPr>
    </w:p>
    <w:p w14:paraId="56D3D8B6" w14:textId="77777777" w:rsidR="00333D83" w:rsidRPr="00D723FF" w:rsidRDefault="00333D83" w:rsidP="00D723FF">
      <w:pPr>
        <w:pStyle w:val="Normal0"/>
        <w:spacing w:after="0" w:line="360" w:lineRule="auto"/>
        <w:jc w:val="both"/>
        <w:rPr>
          <w:rFonts w:cs="Times New Roman"/>
        </w:rPr>
      </w:pPr>
    </w:p>
    <w:sdt>
      <w:sdtPr>
        <w:rPr>
          <w:rFonts w:ascii="Times New Roman" w:eastAsia="Times New Roman" w:hAnsi="Times New Roman" w:cs="Times New Roman"/>
          <w:spacing w:val="0"/>
          <w:kern w:val="0"/>
          <w:sz w:val="36"/>
          <w:szCs w:val="36"/>
          <w:lang w:val="nl-NL"/>
        </w:rPr>
        <w:id w:val="1376885566"/>
        <w:docPartObj>
          <w:docPartGallery w:val="Table of Contents"/>
          <w:docPartUnique/>
        </w:docPartObj>
      </w:sdtPr>
      <w:sdtEndPr>
        <w:rPr>
          <w:b/>
          <w:bCs/>
          <w:noProof/>
          <w:lang w:val="fr-BE"/>
        </w:rPr>
      </w:sdtEndPr>
      <w:sdtContent>
        <w:p w14:paraId="6C235BD4" w14:textId="34602486" w:rsidR="00BE6030" w:rsidRPr="00D723FF" w:rsidRDefault="0051695D" w:rsidP="00920662">
          <w:pPr>
            <w:pStyle w:val="Titel"/>
            <w:spacing w:line="360" w:lineRule="auto"/>
            <w:jc w:val="both"/>
            <w:rPr>
              <w:rFonts w:ascii="Times New Roman" w:hAnsi="Times New Roman" w:cs="Times New Roman"/>
              <w:sz w:val="96"/>
              <w:szCs w:val="96"/>
            </w:rPr>
          </w:pPr>
          <w:r w:rsidRPr="00D723FF">
            <w:rPr>
              <w:rFonts w:ascii="Times New Roman" w:hAnsi="Times New Roman" w:cs="Times New Roman"/>
              <w:sz w:val="72"/>
              <w:szCs w:val="72"/>
              <w:lang w:val="nl-NL"/>
            </w:rPr>
            <w:t>Contents</w:t>
          </w:r>
        </w:p>
        <w:p w14:paraId="1D1D9312" w14:textId="38CA74C9" w:rsidR="00890248" w:rsidRPr="00920662" w:rsidRDefault="00BE6030" w:rsidP="00920662">
          <w:pPr>
            <w:pStyle w:val="Inhopg1"/>
            <w:spacing w:line="360" w:lineRule="auto"/>
            <w:rPr>
              <w:rFonts w:eastAsiaTheme="minorEastAsia" w:cstheme="minorBidi"/>
              <w:b w:val="0"/>
              <w:bCs w:val="0"/>
              <w:noProof/>
              <w:kern w:val="2"/>
              <w:sz w:val="24"/>
              <w:szCs w:val="24"/>
              <w:lang w:val="nl-BE" w:eastAsia="nl-NL"/>
              <w14:ligatures w14:val="standardContextual"/>
            </w:rPr>
          </w:pPr>
          <w:r w:rsidRPr="00D723FF">
            <w:rPr>
              <w:rFonts w:ascii="Times New Roman" w:hAnsi="Times New Roman"/>
              <w:sz w:val="28"/>
              <w:szCs w:val="28"/>
            </w:rPr>
            <w:fldChar w:fldCharType="begin"/>
          </w:r>
          <w:r w:rsidRPr="00D723FF">
            <w:rPr>
              <w:rFonts w:ascii="Times New Roman" w:hAnsi="Times New Roman"/>
              <w:sz w:val="28"/>
              <w:szCs w:val="28"/>
            </w:rPr>
            <w:instrText>TOC \o "1-3" \h \z \u</w:instrText>
          </w:r>
          <w:r w:rsidRPr="00D723FF">
            <w:rPr>
              <w:rFonts w:ascii="Times New Roman" w:hAnsi="Times New Roman"/>
              <w:sz w:val="28"/>
              <w:szCs w:val="28"/>
            </w:rPr>
            <w:fldChar w:fldCharType="separate"/>
          </w:r>
          <w:hyperlink w:anchor="_Toc230376177" w:history="1">
            <w:r w:rsidR="00890248" w:rsidRPr="00920662">
              <w:rPr>
                <w:rStyle w:val="Hyperlink"/>
                <w:rFonts w:ascii="Times New Roman" w:hAnsi="Times New Roman"/>
                <w:noProof/>
              </w:rPr>
              <w:t>Abstract</w:t>
            </w:r>
            <w:r w:rsidR="00890248" w:rsidRPr="00920662">
              <w:rPr>
                <w:noProof/>
                <w:webHidden/>
              </w:rPr>
              <w:tab/>
            </w:r>
            <w:r w:rsidR="00890248" w:rsidRPr="00920662">
              <w:rPr>
                <w:noProof/>
                <w:webHidden/>
              </w:rPr>
              <w:fldChar w:fldCharType="begin"/>
            </w:r>
            <w:r w:rsidR="00890248" w:rsidRPr="00920662">
              <w:rPr>
                <w:noProof/>
                <w:webHidden/>
              </w:rPr>
              <w:instrText xml:space="preserve"> PAGEREF _Toc230376177 \h </w:instrText>
            </w:r>
            <w:r w:rsidR="00890248" w:rsidRPr="00920662">
              <w:rPr>
                <w:noProof/>
                <w:webHidden/>
              </w:rPr>
            </w:r>
            <w:r w:rsidR="00890248" w:rsidRPr="00920662">
              <w:rPr>
                <w:noProof/>
                <w:webHidden/>
              </w:rPr>
              <w:fldChar w:fldCharType="separate"/>
            </w:r>
            <w:r w:rsidR="005E20A0">
              <w:rPr>
                <w:noProof/>
                <w:webHidden/>
              </w:rPr>
              <w:t>3</w:t>
            </w:r>
            <w:r w:rsidR="00890248" w:rsidRPr="00920662">
              <w:rPr>
                <w:noProof/>
                <w:webHidden/>
              </w:rPr>
              <w:fldChar w:fldCharType="end"/>
            </w:r>
          </w:hyperlink>
        </w:p>
        <w:p w14:paraId="129FCF44" w14:textId="76582866"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78" w:history="1">
            <w:r w:rsidRPr="00920662">
              <w:rPr>
                <w:rStyle w:val="Hyperlink"/>
                <w:rFonts w:ascii="Times New Roman" w:hAnsi="Times New Roman"/>
                <w:i w:val="0"/>
                <w:iCs w:val="0"/>
                <w:noProof/>
                <w:lang w:val="en-US"/>
              </w:rPr>
              <w:t>1.</w:t>
            </w:r>
            <w:r w:rsidRPr="00920662">
              <w:rPr>
                <w:rFonts w:eastAsiaTheme="minorEastAsia" w:cstheme="minorBidi"/>
                <w:i w:val="0"/>
                <w:iCs w:val="0"/>
                <w:noProof/>
                <w:kern w:val="2"/>
                <w:sz w:val="24"/>
                <w:szCs w:val="24"/>
                <w:lang w:val="nl-BE" w:eastAsia="nl-NL"/>
                <w14:ligatures w14:val="standardContextual"/>
              </w:rPr>
              <w:tab/>
            </w:r>
            <w:r w:rsidRPr="00920662">
              <w:rPr>
                <w:rStyle w:val="Hyperlink"/>
                <w:rFonts w:ascii="Times New Roman" w:hAnsi="Times New Roman"/>
                <w:i w:val="0"/>
                <w:iCs w:val="0"/>
                <w:noProof/>
                <w:lang w:val="en-US"/>
              </w:rPr>
              <w:t>Framework of the research</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_Toc230376178 \h </w:instrText>
            </w:r>
            <w:r w:rsidRPr="00920662">
              <w:rPr>
                <w:i w:val="0"/>
                <w:iCs w:val="0"/>
                <w:noProof/>
                <w:webHidden/>
              </w:rPr>
            </w:r>
            <w:r w:rsidRPr="00920662">
              <w:rPr>
                <w:i w:val="0"/>
                <w:iCs w:val="0"/>
                <w:noProof/>
                <w:webHidden/>
              </w:rPr>
              <w:fldChar w:fldCharType="separate"/>
            </w:r>
            <w:r w:rsidR="005E20A0">
              <w:rPr>
                <w:i w:val="0"/>
                <w:iCs w:val="0"/>
                <w:noProof/>
                <w:webHidden/>
              </w:rPr>
              <w:t>7</w:t>
            </w:r>
            <w:r w:rsidRPr="00920662">
              <w:rPr>
                <w:i w:val="0"/>
                <w:iCs w:val="0"/>
                <w:noProof/>
                <w:webHidden/>
              </w:rPr>
              <w:fldChar w:fldCharType="end"/>
            </w:r>
          </w:hyperlink>
        </w:p>
        <w:p w14:paraId="17DF203F" w14:textId="0020A0A9"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79" w:history="1">
            <w:r w:rsidRPr="00920662">
              <w:rPr>
                <w:rStyle w:val="Hyperlink"/>
                <w:rFonts w:ascii="Times New Roman" w:hAnsi="Times New Roman"/>
                <w:i w:val="0"/>
                <w:iCs w:val="0"/>
                <w:noProof/>
                <w:lang w:val="en-US"/>
              </w:rPr>
              <w:t>2.</w:t>
            </w:r>
            <w:r w:rsidRPr="00920662">
              <w:rPr>
                <w:rFonts w:eastAsiaTheme="minorEastAsia" w:cstheme="minorBidi"/>
                <w:i w:val="0"/>
                <w:iCs w:val="0"/>
                <w:noProof/>
                <w:kern w:val="2"/>
                <w:sz w:val="24"/>
                <w:szCs w:val="24"/>
                <w:lang w:val="nl-BE" w:eastAsia="nl-NL"/>
                <w14:ligatures w14:val="standardContextual"/>
              </w:rPr>
              <w:tab/>
            </w:r>
            <w:r w:rsidRPr="00920662">
              <w:rPr>
                <w:rStyle w:val="Hyperlink"/>
                <w:rFonts w:ascii="Times New Roman" w:hAnsi="Times New Roman"/>
                <w:i w:val="0"/>
                <w:iCs w:val="0"/>
                <w:noProof/>
                <w:lang w:val="en-US"/>
              </w:rPr>
              <w:t>Research question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_Toc230376179 \h </w:instrText>
            </w:r>
            <w:r w:rsidRPr="00920662">
              <w:rPr>
                <w:i w:val="0"/>
                <w:iCs w:val="0"/>
                <w:noProof/>
                <w:webHidden/>
              </w:rPr>
            </w:r>
            <w:r w:rsidRPr="00920662">
              <w:rPr>
                <w:i w:val="0"/>
                <w:iCs w:val="0"/>
                <w:noProof/>
                <w:webHidden/>
              </w:rPr>
              <w:fldChar w:fldCharType="separate"/>
            </w:r>
            <w:r w:rsidR="005E20A0">
              <w:rPr>
                <w:i w:val="0"/>
                <w:iCs w:val="0"/>
                <w:noProof/>
                <w:webHidden/>
              </w:rPr>
              <w:t>9</w:t>
            </w:r>
            <w:r w:rsidRPr="00920662">
              <w:rPr>
                <w:i w:val="0"/>
                <w:iCs w:val="0"/>
                <w:noProof/>
                <w:webHidden/>
              </w:rPr>
              <w:fldChar w:fldCharType="end"/>
            </w:r>
          </w:hyperlink>
        </w:p>
        <w:p w14:paraId="65E4E1BB" w14:textId="29784F07"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80" w:history="1">
            <w:r w:rsidRPr="00920662">
              <w:rPr>
                <w:rStyle w:val="Hyperlink"/>
                <w:noProof/>
                <w:lang w:val="en-US"/>
              </w:rPr>
              <w:t>a. Sources of law used</w:t>
            </w:r>
            <w:r w:rsidRPr="00920662">
              <w:rPr>
                <w:noProof/>
                <w:webHidden/>
              </w:rPr>
              <w:tab/>
            </w:r>
            <w:r w:rsidRPr="00920662">
              <w:rPr>
                <w:noProof/>
                <w:webHidden/>
              </w:rPr>
              <w:fldChar w:fldCharType="begin"/>
            </w:r>
            <w:r w:rsidRPr="00920662">
              <w:rPr>
                <w:noProof/>
                <w:webHidden/>
              </w:rPr>
              <w:instrText xml:space="preserve"> PAGEREF _Toc230376180 \h </w:instrText>
            </w:r>
            <w:r w:rsidRPr="00920662">
              <w:rPr>
                <w:noProof/>
                <w:webHidden/>
              </w:rPr>
            </w:r>
            <w:r w:rsidRPr="00920662">
              <w:rPr>
                <w:noProof/>
                <w:webHidden/>
              </w:rPr>
              <w:fldChar w:fldCharType="separate"/>
            </w:r>
            <w:r w:rsidR="005E20A0">
              <w:rPr>
                <w:noProof/>
                <w:webHidden/>
              </w:rPr>
              <w:t>9</w:t>
            </w:r>
            <w:r w:rsidRPr="00920662">
              <w:rPr>
                <w:noProof/>
                <w:webHidden/>
              </w:rPr>
              <w:fldChar w:fldCharType="end"/>
            </w:r>
          </w:hyperlink>
        </w:p>
        <w:p w14:paraId="18B4C2C4" w14:textId="4F7A3447"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81" w:history="1">
            <w:r w:rsidRPr="00920662">
              <w:rPr>
                <w:rStyle w:val="Hyperlink"/>
                <w:noProof/>
                <w:lang w:val="en-US"/>
              </w:rPr>
              <w:t>b. Doctrinal and interpretative approach</w:t>
            </w:r>
            <w:r w:rsidRPr="00920662">
              <w:rPr>
                <w:noProof/>
                <w:webHidden/>
              </w:rPr>
              <w:tab/>
            </w:r>
            <w:r w:rsidRPr="00920662">
              <w:rPr>
                <w:noProof/>
                <w:webHidden/>
              </w:rPr>
              <w:fldChar w:fldCharType="begin"/>
            </w:r>
            <w:r w:rsidRPr="00920662">
              <w:rPr>
                <w:noProof/>
                <w:webHidden/>
              </w:rPr>
              <w:instrText xml:space="preserve"> PAGEREF _Toc230376181 \h </w:instrText>
            </w:r>
            <w:r w:rsidRPr="00920662">
              <w:rPr>
                <w:noProof/>
                <w:webHidden/>
              </w:rPr>
            </w:r>
            <w:r w:rsidRPr="00920662">
              <w:rPr>
                <w:noProof/>
                <w:webHidden/>
              </w:rPr>
              <w:fldChar w:fldCharType="separate"/>
            </w:r>
            <w:r w:rsidR="005E20A0">
              <w:rPr>
                <w:noProof/>
                <w:webHidden/>
              </w:rPr>
              <w:t>10</w:t>
            </w:r>
            <w:r w:rsidRPr="00920662">
              <w:rPr>
                <w:noProof/>
                <w:webHidden/>
              </w:rPr>
              <w:fldChar w:fldCharType="end"/>
            </w:r>
          </w:hyperlink>
        </w:p>
        <w:p w14:paraId="69A08808" w14:textId="5A0E1B79"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82" w:history="1">
            <w:r w:rsidRPr="00920662">
              <w:rPr>
                <w:rStyle w:val="Hyperlink"/>
                <w:rFonts w:ascii="Times New Roman" w:eastAsiaTheme="minorHAnsi" w:hAnsi="Times New Roman"/>
                <w:i w:val="0"/>
                <w:iCs w:val="0"/>
                <w:noProof/>
                <w:lang w:val="en-US" w:eastAsia="en-US"/>
              </w:rPr>
              <w:t>3.</w:t>
            </w:r>
            <w:r w:rsidRPr="00920662">
              <w:rPr>
                <w:rFonts w:eastAsiaTheme="minorEastAsia" w:cstheme="minorBidi"/>
                <w:i w:val="0"/>
                <w:iCs w:val="0"/>
                <w:noProof/>
                <w:kern w:val="2"/>
                <w:sz w:val="24"/>
                <w:szCs w:val="24"/>
                <w:lang w:val="nl-BE" w:eastAsia="nl-NL"/>
                <w14:ligatures w14:val="standardContextual"/>
              </w:rPr>
              <w:tab/>
            </w:r>
            <w:r w:rsidRPr="00920662">
              <w:rPr>
                <w:rStyle w:val="Hyperlink"/>
                <w:rFonts w:ascii="Times New Roman" w:hAnsi="Times New Roman"/>
                <w:i w:val="0"/>
                <w:iCs w:val="0"/>
                <w:noProof/>
                <w:lang w:val="en-US"/>
              </w:rPr>
              <w:t>Limitations of the research</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_Toc230376182 \h </w:instrText>
            </w:r>
            <w:r w:rsidRPr="00920662">
              <w:rPr>
                <w:i w:val="0"/>
                <w:iCs w:val="0"/>
                <w:noProof/>
                <w:webHidden/>
              </w:rPr>
            </w:r>
            <w:r w:rsidRPr="00920662">
              <w:rPr>
                <w:i w:val="0"/>
                <w:iCs w:val="0"/>
                <w:noProof/>
                <w:webHidden/>
              </w:rPr>
              <w:fldChar w:fldCharType="separate"/>
            </w:r>
            <w:r w:rsidR="005E20A0">
              <w:rPr>
                <w:i w:val="0"/>
                <w:iCs w:val="0"/>
                <w:noProof/>
                <w:webHidden/>
              </w:rPr>
              <w:t>11</w:t>
            </w:r>
            <w:r w:rsidRPr="00920662">
              <w:rPr>
                <w:i w:val="0"/>
                <w:iCs w:val="0"/>
                <w:noProof/>
                <w:webHidden/>
              </w:rPr>
              <w:fldChar w:fldCharType="end"/>
            </w:r>
          </w:hyperlink>
        </w:p>
        <w:p w14:paraId="4E8F88E7" w14:textId="52494A70"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183" w:history="1">
            <w:r w:rsidRPr="00920662">
              <w:rPr>
                <w:rStyle w:val="Hyperlink"/>
                <w:rFonts w:ascii="Times New Roman" w:hAnsi="Times New Roman"/>
                <w:noProof/>
                <w:lang w:val="en-US" w:eastAsia="en-US"/>
              </w:rPr>
              <w:t>Chapter 1. Genocide under International Law</w:t>
            </w:r>
            <w:r w:rsidRPr="00920662">
              <w:rPr>
                <w:noProof/>
                <w:webHidden/>
              </w:rPr>
              <w:tab/>
            </w:r>
            <w:r w:rsidRPr="00920662">
              <w:rPr>
                <w:noProof/>
                <w:webHidden/>
              </w:rPr>
              <w:fldChar w:fldCharType="begin"/>
            </w:r>
            <w:r w:rsidRPr="00920662">
              <w:rPr>
                <w:noProof/>
                <w:webHidden/>
              </w:rPr>
              <w:instrText xml:space="preserve"> PAGEREF _Toc230376183 \h </w:instrText>
            </w:r>
            <w:r w:rsidRPr="00920662">
              <w:rPr>
                <w:noProof/>
                <w:webHidden/>
              </w:rPr>
            </w:r>
            <w:r w:rsidRPr="00920662">
              <w:rPr>
                <w:noProof/>
                <w:webHidden/>
              </w:rPr>
              <w:fldChar w:fldCharType="separate"/>
            </w:r>
            <w:r w:rsidR="005E20A0">
              <w:rPr>
                <w:noProof/>
                <w:webHidden/>
              </w:rPr>
              <w:t>12</w:t>
            </w:r>
            <w:r w:rsidRPr="00920662">
              <w:rPr>
                <w:noProof/>
                <w:webHidden/>
              </w:rPr>
              <w:fldChar w:fldCharType="end"/>
            </w:r>
          </w:hyperlink>
        </w:p>
        <w:p w14:paraId="7383D244" w14:textId="47494A49"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84" w:history="1">
            <w:r w:rsidRPr="00920662">
              <w:rPr>
                <w:rStyle w:val="Hyperlink"/>
                <w:rFonts w:ascii="Times New Roman" w:eastAsiaTheme="minorHAnsi" w:hAnsi="Times New Roman"/>
                <w:i w:val="0"/>
                <w:iCs w:val="0"/>
                <w:noProof/>
                <w:lang w:val="en-US" w:eastAsia="en-US"/>
              </w:rPr>
              <w:t>1.1. The historical development of the concept of genocide</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_Toc230376184 \h </w:instrText>
            </w:r>
            <w:r w:rsidRPr="00920662">
              <w:rPr>
                <w:i w:val="0"/>
                <w:iCs w:val="0"/>
                <w:noProof/>
                <w:webHidden/>
              </w:rPr>
            </w:r>
            <w:r w:rsidRPr="00920662">
              <w:rPr>
                <w:i w:val="0"/>
                <w:iCs w:val="0"/>
                <w:noProof/>
                <w:webHidden/>
              </w:rPr>
              <w:fldChar w:fldCharType="separate"/>
            </w:r>
            <w:r w:rsidR="005E20A0">
              <w:rPr>
                <w:i w:val="0"/>
                <w:iCs w:val="0"/>
                <w:noProof/>
                <w:webHidden/>
              </w:rPr>
              <w:t>12</w:t>
            </w:r>
            <w:r w:rsidRPr="00920662">
              <w:rPr>
                <w:i w:val="0"/>
                <w:iCs w:val="0"/>
                <w:noProof/>
                <w:webHidden/>
              </w:rPr>
              <w:fldChar w:fldCharType="end"/>
            </w:r>
          </w:hyperlink>
        </w:p>
        <w:p w14:paraId="23267E6E" w14:textId="448C1B3B"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85" w:history="1">
            <w:r w:rsidRPr="00920662">
              <w:rPr>
                <w:rStyle w:val="Hyperlink"/>
                <w:rFonts w:ascii="Times New Roman" w:eastAsiaTheme="minorHAnsi" w:hAnsi="Times New Roman"/>
                <w:i w:val="0"/>
                <w:iCs w:val="0"/>
                <w:noProof/>
                <w:lang w:val="en-US" w:eastAsia="en-US"/>
              </w:rPr>
              <w:t>1.</w:t>
            </w:r>
            <w:r w:rsidRPr="00920662">
              <w:rPr>
                <w:rStyle w:val="Hyperlink"/>
                <w:rFonts w:ascii="Times New Roman" w:hAnsi="Times New Roman"/>
                <w:i w:val="0"/>
                <w:iCs w:val="0"/>
                <w:noProof/>
                <w:lang w:val="en-US"/>
              </w:rPr>
              <w:t>2</w:t>
            </w:r>
            <w:r w:rsidRPr="00920662">
              <w:rPr>
                <w:rStyle w:val="Hyperlink"/>
                <w:rFonts w:ascii="Times New Roman" w:eastAsiaTheme="minorHAnsi" w:hAnsi="Times New Roman"/>
                <w:i w:val="0"/>
                <w:iCs w:val="0"/>
                <w:noProof/>
                <w:lang w:val="en-US" w:eastAsia="en-US"/>
              </w:rPr>
              <w:t>. The Genocide Convention of 1948</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_Toc230376185 \h </w:instrText>
            </w:r>
            <w:r w:rsidRPr="00920662">
              <w:rPr>
                <w:i w:val="0"/>
                <w:iCs w:val="0"/>
                <w:noProof/>
                <w:webHidden/>
              </w:rPr>
            </w:r>
            <w:r w:rsidRPr="00920662">
              <w:rPr>
                <w:i w:val="0"/>
                <w:iCs w:val="0"/>
                <w:noProof/>
                <w:webHidden/>
              </w:rPr>
              <w:fldChar w:fldCharType="separate"/>
            </w:r>
            <w:r w:rsidR="005E20A0">
              <w:rPr>
                <w:i w:val="0"/>
                <w:iCs w:val="0"/>
                <w:noProof/>
                <w:webHidden/>
              </w:rPr>
              <w:t>13</w:t>
            </w:r>
            <w:r w:rsidRPr="00920662">
              <w:rPr>
                <w:i w:val="0"/>
                <w:iCs w:val="0"/>
                <w:noProof/>
                <w:webHidden/>
              </w:rPr>
              <w:fldChar w:fldCharType="end"/>
            </w:r>
          </w:hyperlink>
        </w:p>
        <w:p w14:paraId="16CD01E1" w14:textId="13A172E9"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86" w:history="1">
            <w:r w:rsidRPr="00920662">
              <w:rPr>
                <w:rStyle w:val="Hyperlink"/>
                <w:noProof/>
                <w:lang w:val="en-US"/>
              </w:rPr>
              <w:t>1.2.1. Actus reus and mens rea</w:t>
            </w:r>
            <w:r w:rsidRPr="00920662">
              <w:rPr>
                <w:noProof/>
                <w:webHidden/>
              </w:rPr>
              <w:tab/>
            </w:r>
            <w:r w:rsidRPr="00920662">
              <w:rPr>
                <w:noProof/>
                <w:webHidden/>
              </w:rPr>
              <w:fldChar w:fldCharType="begin"/>
            </w:r>
            <w:r w:rsidRPr="00920662">
              <w:rPr>
                <w:noProof/>
                <w:webHidden/>
              </w:rPr>
              <w:instrText xml:space="preserve"> PAGEREF _Toc230376186 \h </w:instrText>
            </w:r>
            <w:r w:rsidRPr="00920662">
              <w:rPr>
                <w:noProof/>
                <w:webHidden/>
              </w:rPr>
            </w:r>
            <w:r w:rsidRPr="00920662">
              <w:rPr>
                <w:noProof/>
                <w:webHidden/>
              </w:rPr>
              <w:fldChar w:fldCharType="separate"/>
            </w:r>
            <w:r w:rsidR="005E20A0">
              <w:rPr>
                <w:noProof/>
                <w:webHidden/>
              </w:rPr>
              <w:t>13</w:t>
            </w:r>
            <w:r w:rsidRPr="00920662">
              <w:rPr>
                <w:noProof/>
                <w:webHidden/>
              </w:rPr>
              <w:fldChar w:fldCharType="end"/>
            </w:r>
          </w:hyperlink>
        </w:p>
        <w:p w14:paraId="51CDC5E4" w14:textId="3905B92C"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87" w:history="1">
            <w:r w:rsidRPr="00920662">
              <w:rPr>
                <w:rStyle w:val="Hyperlink"/>
                <w:noProof/>
                <w:lang w:val="en-US"/>
              </w:rPr>
              <w:t>1.2.2. Protected groups</w:t>
            </w:r>
            <w:r w:rsidRPr="00920662">
              <w:rPr>
                <w:noProof/>
                <w:webHidden/>
              </w:rPr>
              <w:tab/>
            </w:r>
            <w:r w:rsidRPr="00920662">
              <w:rPr>
                <w:noProof/>
                <w:webHidden/>
              </w:rPr>
              <w:fldChar w:fldCharType="begin"/>
            </w:r>
            <w:r w:rsidRPr="00920662">
              <w:rPr>
                <w:noProof/>
                <w:webHidden/>
              </w:rPr>
              <w:instrText xml:space="preserve"> PAGEREF _Toc230376187 \h </w:instrText>
            </w:r>
            <w:r w:rsidRPr="00920662">
              <w:rPr>
                <w:noProof/>
                <w:webHidden/>
              </w:rPr>
            </w:r>
            <w:r w:rsidRPr="00920662">
              <w:rPr>
                <w:noProof/>
                <w:webHidden/>
              </w:rPr>
              <w:fldChar w:fldCharType="separate"/>
            </w:r>
            <w:r w:rsidR="005E20A0">
              <w:rPr>
                <w:noProof/>
                <w:webHidden/>
              </w:rPr>
              <w:t>17</w:t>
            </w:r>
            <w:r w:rsidRPr="00920662">
              <w:rPr>
                <w:noProof/>
                <w:webHidden/>
              </w:rPr>
              <w:fldChar w:fldCharType="end"/>
            </w:r>
          </w:hyperlink>
        </w:p>
        <w:p w14:paraId="5E2D9BA9" w14:textId="57E8176A"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88" w:history="1">
            <w:r w:rsidRPr="00920662">
              <w:rPr>
                <w:rStyle w:val="Hyperlink"/>
                <w:rFonts w:ascii="Times New Roman" w:hAnsi="Times New Roman"/>
                <w:i w:val="0"/>
                <w:iCs w:val="0"/>
                <w:noProof/>
                <w:lang w:val="en-US" w:eastAsia="en-US"/>
              </w:rPr>
              <w:t>1.3. Genocide as a jus cogens norm and its legal consequences</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_Toc230376188 \h </w:instrText>
            </w:r>
            <w:r w:rsidRPr="00920662">
              <w:rPr>
                <w:i w:val="0"/>
                <w:iCs w:val="0"/>
                <w:noProof/>
                <w:webHidden/>
              </w:rPr>
            </w:r>
            <w:r w:rsidRPr="00920662">
              <w:rPr>
                <w:i w:val="0"/>
                <w:iCs w:val="0"/>
                <w:noProof/>
                <w:webHidden/>
              </w:rPr>
              <w:fldChar w:fldCharType="separate"/>
            </w:r>
            <w:r w:rsidR="005E20A0">
              <w:rPr>
                <w:i w:val="0"/>
                <w:iCs w:val="0"/>
                <w:noProof/>
                <w:webHidden/>
              </w:rPr>
              <w:t>19</w:t>
            </w:r>
            <w:r w:rsidRPr="00920662">
              <w:rPr>
                <w:i w:val="0"/>
                <w:iCs w:val="0"/>
                <w:noProof/>
                <w:webHidden/>
              </w:rPr>
              <w:fldChar w:fldCharType="end"/>
            </w:r>
          </w:hyperlink>
        </w:p>
        <w:p w14:paraId="16B98873" w14:textId="3EAA8E63"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89" w:history="1">
            <w:r w:rsidRPr="00920662">
              <w:rPr>
                <w:rStyle w:val="Hyperlink"/>
                <w:rFonts w:ascii="Times New Roman" w:hAnsi="Times New Roman"/>
                <w:i w:val="0"/>
                <w:iCs w:val="0"/>
                <w:noProof/>
                <w:lang w:val="en-US" w:eastAsia="en-US"/>
              </w:rPr>
              <w:t>1.4 Interim Conclusion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_Toc230376189 \h </w:instrText>
            </w:r>
            <w:r w:rsidRPr="00920662">
              <w:rPr>
                <w:i w:val="0"/>
                <w:iCs w:val="0"/>
                <w:noProof/>
                <w:webHidden/>
              </w:rPr>
            </w:r>
            <w:r w:rsidRPr="00920662">
              <w:rPr>
                <w:i w:val="0"/>
                <w:iCs w:val="0"/>
                <w:noProof/>
                <w:webHidden/>
              </w:rPr>
              <w:fldChar w:fldCharType="separate"/>
            </w:r>
            <w:r w:rsidR="005E20A0">
              <w:rPr>
                <w:i w:val="0"/>
                <w:iCs w:val="0"/>
                <w:noProof/>
                <w:webHidden/>
              </w:rPr>
              <w:t>20</w:t>
            </w:r>
            <w:r w:rsidRPr="00920662">
              <w:rPr>
                <w:i w:val="0"/>
                <w:iCs w:val="0"/>
                <w:noProof/>
                <w:webHidden/>
              </w:rPr>
              <w:fldChar w:fldCharType="end"/>
            </w:r>
          </w:hyperlink>
        </w:p>
        <w:p w14:paraId="66B46663" w14:textId="1DBDA67F"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190" w:history="1">
            <w:r w:rsidRPr="00920662">
              <w:rPr>
                <w:rStyle w:val="Hyperlink"/>
                <w:rFonts w:ascii="Times New Roman" w:hAnsi="Times New Roman"/>
                <w:noProof/>
              </w:rPr>
              <w:t>Chapter 2. Environmental Destruction under international law</w:t>
            </w:r>
            <w:r w:rsidRPr="00920662">
              <w:rPr>
                <w:noProof/>
                <w:webHidden/>
              </w:rPr>
              <w:tab/>
            </w:r>
            <w:r w:rsidRPr="00920662">
              <w:rPr>
                <w:noProof/>
                <w:webHidden/>
              </w:rPr>
              <w:fldChar w:fldCharType="begin"/>
            </w:r>
            <w:r w:rsidRPr="00920662">
              <w:rPr>
                <w:noProof/>
                <w:webHidden/>
              </w:rPr>
              <w:instrText xml:space="preserve"> PAGEREF _Toc230376190 \h </w:instrText>
            </w:r>
            <w:r w:rsidRPr="00920662">
              <w:rPr>
                <w:noProof/>
                <w:webHidden/>
              </w:rPr>
            </w:r>
            <w:r w:rsidRPr="00920662">
              <w:rPr>
                <w:noProof/>
                <w:webHidden/>
              </w:rPr>
              <w:fldChar w:fldCharType="separate"/>
            </w:r>
            <w:r w:rsidR="005E20A0">
              <w:rPr>
                <w:noProof/>
                <w:webHidden/>
              </w:rPr>
              <w:t>21</w:t>
            </w:r>
            <w:r w:rsidRPr="00920662">
              <w:rPr>
                <w:noProof/>
                <w:webHidden/>
              </w:rPr>
              <w:fldChar w:fldCharType="end"/>
            </w:r>
          </w:hyperlink>
        </w:p>
        <w:p w14:paraId="31C8D02A" w14:textId="66F8EEA1"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1" w:history="1">
            <w:r w:rsidRPr="00920662">
              <w:rPr>
                <w:rStyle w:val="Hyperlink"/>
                <w:rFonts w:ascii="Times New Roman" w:eastAsiaTheme="minorHAnsi" w:hAnsi="Times New Roman"/>
                <w:i w:val="0"/>
                <w:iCs w:val="0"/>
                <w:noProof/>
              </w:rPr>
              <w:t>2.1. Introduction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_Toc230376191 \h </w:instrText>
            </w:r>
            <w:r w:rsidRPr="00920662">
              <w:rPr>
                <w:i w:val="0"/>
                <w:iCs w:val="0"/>
                <w:noProof/>
                <w:webHidden/>
              </w:rPr>
            </w:r>
            <w:r w:rsidRPr="00920662">
              <w:rPr>
                <w:i w:val="0"/>
                <w:iCs w:val="0"/>
                <w:noProof/>
                <w:webHidden/>
              </w:rPr>
              <w:fldChar w:fldCharType="separate"/>
            </w:r>
            <w:r w:rsidR="005E20A0">
              <w:rPr>
                <w:i w:val="0"/>
                <w:iCs w:val="0"/>
                <w:noProof/>
                <w:webHidden/>
              </w:rPr>
              <w:t>21</w:t>
            </w:r>
            <w:r w:rsidRPr="00920662">
              <w:rPr>
                <w:i w:val="0"/>
                <w:iCs w:val="0"/>
                <w:noProof/>
                <w:webHidden/>
              </w:rPr>
              <w:fldChar w:fldCharType="end"/>
            </w:r>
          </w:hyperlink>
        </w:p>
        <w:p w14:paraId="7FE699D2" w14:textId="2CE61D7A"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2" w:history="1">
            <w:r w:rsidRPr="00920662">
              <w:rPr>
                <w:rStyle w:val="Hyperlink"/>
                <w:rFonts w:ascii="Times New Roman" w:hAnsi="Times New Roman"/>
                <w:i w:val="0"/>
                <w:iCs w:val="0"/>
                <w:noProof/>
              </w:rPr>
              <w:t>2.2. The concept of environmental destruction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_Toc230376192 \h </w:instrText>
            </w:r>
            <w:r w:rsidRPr="00920662">
              <w:rPr>
                <w:i w:val="0"/>
                <w:iCs w:val="0"/>
                <w:noProof/>
                <w:webHidden/>
              </w:rPr>
            </w:r>
            <w:r w:rsidRPr="00920662">
              <w:rPr>
                <w:i w:val="0"/>
                <w:iCs w:val="0"/>
                <w:noProof/>
                <w:webHidden/>
              </w:rPr>
              <w:fldChar w:fldCharType="separate"/>
            </w:r>
            <w:r w:rsidR="005E20A0">
              <w:rPr>
                <w:i w:val="0"/>
                <w:iCs w:val="0"/>
                <w:noProof/>
                <w:webHidden/>
              </w:rPr>
              <w:t>22</w:t>
            </w:r>
            <w:r w:rsidRPr="00920662">
              <w:rPr>
                <w:i w:val="0"/>
                <w:iCs w:val="0"/>
                <w:noProof/>
                <w:webHidden/>
              </w:rPr>
              <w:fldChar w:fldCharType="end"/>
            </w:r>
          </w:hyperlink>
        </w:p>
        <w:p w14:paraId="4CA800D4" w14:textId="5706494C"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3" w:history="1">
            <w:r w:rsidRPr="00920662">
              <w:rPr>
                <w:rStyle w:val="Hyperlink"/>
                <w:rFonts w:ascii="Times New Roman" w:hAnsi="Times New Roman"/>
                <w:i w:val="0"/>
                <w:iCs w:val="0"/>
                <w:noProof/>
              </w:rPr>
              <w:t>2.3. Environmental protection under treaty law</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_Toc230376193 \h </w:instrText>
            </w:r>
            <w:r w:rsidRPr="00920662">
              <w:rPr>
                <w:i w:val="0"/>
                <w:iCs w:val="0"/>
                <w:noProof/>
                <w:webHidden/>
              </w:rPr>
            </w:r>
            <w:r w:rsidRPr="00920662">
              <w:rPr>
                <w:i w:val="0"/>
                <w:iCs w:val="0"/>
                <w:noProof/>
                <w:webHidden/>
              </w:rPr>
              <w:fldChar w:fldCharType="separate"/>
            </w:r>
            <w:r w:rsidR="005E20A0">
              <w:rPr>
                <w:i w:val="0"/>
                <w:iCs w:val="0"/>
                <w:noProof/>
                <w:webHidden/>
              </w:rPr>
              <w:t>23</w:t>
            </w:r>
            <w:r w:rsidRPr="00920662">
              <w:rPr>
                <w:i w:val="0"/>
                <w:iCs w:val="0"/>
                <w:noProof/>
                <w:webHidden/>
              </w:rPr>
              <w:fldChar w:fldCharType="end"/>
            </w:r>
          </w:hyperlink>
        </w:p>
        <w:p w14:paraId="6434A24D" w14:textId="7A8F4A4B"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94" w:history="1">
            <w:r w:rsidRPr="00920662">
              <w:rPr>
                <w:rStyle w:val="Hyperlink"/>
                <w:noProof/>
              </w:rPr>
              <w:t>2.3.1. Additional Protocol I</w:t>
            </w:r>
            <w:r w:rsidRPr="00920662">
              <w:rPr>
                <w:noProof/>
                <w:webHidden/>
              </w:rPr>
              <w:tab/>
            </w:r>
            <w:r w:rsidRPr="00920662">
              <w:rPr>
                <w:noProof/>
                <w:webHidden/>
              </w:rPr>
              <w:fldChar w:fldCharType="begin"/>
            </w:r>
            <w:r w:rsidRPr="00920662">
              <w:rPr>
                <w:noProof/>
                <w:webHidden/>
              </w:rPr>
              <w:instrText xml:space="preserve"> PAGEREF _Toc230376194 \h </w:instrText>
            </w:r>
            <w:r w:rsidRPr="00920662">
              <w:rPr>
                <w:noProof/>
                <w:webHidden/>
              </w:rPr>
            </w:r>
            <w:r w:rsidRPr="00920662">
              <w:rPr>
                <w:noProof/>
                <w:webHidden/>
              </w:rPr>
              <w:fldChar w:fldCharType="separate"/>
            </w:r>
            <w:r w:rsidR="005E20A0">
              <w:rPr>
                <w:noProof/>
                <w:webHidden/>
              </w:rPr>
              <w:t>23</w:t>
            </w:r>
            <w:r w:rsidRPr="00920662">
              <w:rPr>
                <w:noProof/>
                <w:webHidden/>
              </w:rPr>
              <w:fldChar w:fldCharType="end"/>
            </w:r>
          </w:hyperlink>
        </w:p>
        <w:p w14:paraId="52434348" w14:textId="4262FB76"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195" w:history="1">
            <w:r w:rsidRPr="00920662">
              <w:rPr>
                <w:rStyle w:val="Hyperlink"/>
                <w:noProof/>
              </w:rPr>
              <w:t>2.3.2. The ENMOD Convention</w:t>
            </w:r>
            <w:r w:rsidRPr="00920662">
              <w:rPr>
                <w:noProof/>
                <w:webHidden/>
              </w:rPr>
              <w:tab/>
            </w:r>
            <w:r w:rsidRPr="00920662">
              <w:rPr>
                <w:noProof/>
                <w:webHidden/>
              </w:rPr>
              <w:fldChar w:fldCharType="begin"/>
            </w:r>
            <w:r w:rsidRPr="00920662">
              <w:rPr>
                <w:noProof/>
                <w:webHidden/>
              </w:rPr>
              <w:instrText xml:space="preserve"> PAGEREF _Toc230376195 \h </w:instrText>
            </w:r>
            <w:r w:rsidRPr="00920662">
              <w:rPr>
                <w:noProof/>
                <w:webHidden/>
              </w:rPr>
            </w:r>
            <w:r w:rsidRPr="00920662">
              <w:rPr>
                <w:noProof/>
                <w:webHidden/>
              </w:rPr>
              <w:fldChar w:fldCharType="separate"/>
            </w:r>
            <w:r w:rsidR="005E20A0">
              <w:rPr>
                <w:noProof/>
                <w:webHidden/>
              </w:rPr>
              <w:t>24</w:t>
            </w:r>
            <w:r w:rsidRPr="00920662">
              <w:rPr>
                <w:noProof/>
                <w:webHidden/>
              </w:rPr>
              <w:fldChar w:fldCharType="end"/>
            </w:r>
          </w:hyperlink>
        </w:p>
        <w:p w14:paraId="7978FCCA" w14:textId="7481176A"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6" w:history="1">
            <w:r w:rsidRPr="00920662">
              <w:rPr>
                <w:rStyle w:val="Hyperlink"/>
                <w:rFonts w:ascii="Times New Roman" w:hAnsi="Times New Roman"/>
                <w:i w:val="0"/>
                <w:iCs w:val="0"/>
                <w:noProof/>
              </w:rPr>
              <w:t>2.4.  Customary international humanitarian law</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_Toc230376196 \h </w:instrText>
            </w:r>
            <w:r w:rsidRPr="00920662">
              <w:rPr>
                <w:i w:val="0"/>
                <w:iCs w:val="0"/>
                <w:noProof/>
                <w:webHidden/>
              </w:rPr>
            </w:r>
            <w:r w:rsidRPr="00920662">
              <w:rPr>
                <w:i w:val="0"/>
                <w:iCs w:val="0"/>
                <w:noProof/>
                <w:webHidden/>
              </w:rPr>
              <w:fldChar w:fldCharType="separate"/>
            </w:r>
            <w:r w:rsidR="005E20A0">
              <w:rPr>
                <w:i w:val="0"/>
                <w:iCs w:val="0"/>
                <w:noProof/>
                <w:webHidden/>
              </w:rPr>
              <w:t>25</w:t>
            </w:r>
            <w:r w:rsidRPr="00920662">
              <w:rPr>
                <w:i w:val="0"/>
                <w:iCs w:val="0"/>
                <w:noProof/>
                <w:webHidden/>
              </w:rPr>
              <w:fldChar w:fldCharType="end"/>
            </w:r>
          </w:hyperlink>
        </w:p>
        <w:p w14:paraId="3186D735" w14:textId="2F3798E7"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7" w:history="1">
            <w:r w:rsidRPr="00920662">
              <w:rPr>
                <w:rStyle w:val="Hyperlink"/>
                <w:rFonts w:ascii="Times New Roman" w:hAnsi="Times New Roman"/>
                <w:i w:val="0"/>
                <w:iCs w:val="0"/>
                <w:noProof/>
                <w:lang w:val="en-US"/>
              </w:rPr>
              <w:t>2.5. Interim Conclusion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_Toc230376197 \h </w:instrText>
            </w:r>
            <w:r w:rsidRPr="00920662">
              <w:rPr>
                <w:i w:val="0"/>
                <w:iCs w:val="0"/>
                <w:noProof/>
                <w:webHidden/>
              </w:rPr>
            </w:r>
            <w:r w:rsidRPr="00920662">
              <w:rPr>
                <w:i w:val="0"/>
                <w:iCs w:val="0"/>
                <w:noProof/>
                <w:webHidden/>
              </w:rPr>
              <w:fldChar w:fldCharType="separate"/>
            </w:r>
            <w:r w:rsidR="005E20A0">
              <w:rPr>
                <w:i w:val="0"/>
                <w:iCs w:val="0"/>
                <w:noProof/>
                <w:webHidden/>
              </w:rPr>
              <w:t>26</w:t>
            </w:r>
            <w:r w:rsidRPr="00920662">
              <w:rPr>
                <w:i w:val="0"/>
                <w:iCs w:val="0"/>
                <w:noProof/>
                <w:webHidden/>
              </w:rPr>
              <w:fldChar w:fldCharType="end"/>
            </w:r>
          </w:hyperlink>
        </w:p>
        <w:p w14:paraId="1CFACF78" w14:textId="09B1BC87"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198" w:history="1">
            <w:r w:rsidRPr="00920662">
              <w:rPr>
                <w:rStyle w:val="Hyperlink"/>
                <w:rFonts w:ascii="Times New Roman" w:hAnsi="Times New Roman"/>
                <w:noProof/>
                <w:lang w:val="en-US"/>
              </w:rPr>
              <w:t>Chapter 3. Interpretation of Article II(c) of the Genocide Convention</w:t>
            </w:r>
            <w:r w:rsidRPr="00920662">
              <w:rPr>
                <w:noProof/>
                <w:webHidden/>
              </w:rPr>
              <w:tab/>
            </w:r>
            <w:r w:rsidRPr="00920662">
              <w:rPr>
                <w:noProof/>
                <w:webHidden/>
              </w:rPr>
              <w:fldChar w:fldCharType="begin"/>
            </w:r>
            <w:r w:rsidRPr="00920662">
              <w:rPr>
                <w:noProof/>
                <w:webHidden/>
              </w:rPr>
              <w:instrText xml:space="preserve"> PAGEREF _Toc230376198 \h </w:instrText>
            </w:r>
            <w:r w:rsidRPr="00920662">
              <w:rPr>
                <w:noProof/>
                <w:webHidden/>
              </w:rPr>
            </w:r>
            <w:r w:rsidRPr="00920662">
              <w:rPr>
                <w:noProof/>
                <w:webHidden/>
              </w:rPr>
              <w:fldChar w:fldCharType="separate"/>
            </w:r>
            <w:r w:rsidR="005E20A0">
              <w:rPr>
                <w:noProof/>
                <w:webHidden/>
              </w:rPr>
              <w:t>26</w:t>
            </w:r>
            <w:r w:rsidRPr="00920662">
              <w:rPr>
                <w:noProof/>
                <w:webHidden/>
              </w:rPr>
              <w:fldChar w:fldCharType="end"/>
            </w:r>
          </w:hyperlink>
        </w:p>
        <w:p w14:paraId="5CF5DF72" w14:textId="71F4C6C8"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199" w:history="1">
            <w:r w:rsidRPr="00920662">
              <w:rPr>
                <w:rStyle w:val="Hyperlink"/>
                <w:rFonts w:ascii="Times New Roman" w:hAnsi="Times New Roman"/>
                <w:i w:val="0"/>
                <w:iCs w:val="0"/>
                <w:noProof/>
                <w:lang w:val="en-US"/>
              </w:rPr>
              <w:t>3.1. The distinction between direct and indirect forms of destruction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_Toc230376199 \h </w:instrText>
            </w:r>
            <w:r w:rsidRPr="00920662">
              <w:rPr>
                <w:i w:val="0"/>
                <w:iCs w:val="0"/>
                <w:noProof/>
                <w:webHidden/>
              </w:rPr>
            </w:r>
            <w:r w:rsidRPr="00920662">
              <w:rPr>
                <w:i w:val="0"/>
                <w:iCs w:val="0"/>
                <w:noProof/>
                <w:webHidden/>
              </w:rPr>
              <w:fldChar w:fldCharType="separate"/>
            </w:r>
            <w:r w:rsidR="005E20A0">
              <w:rPr>
                <w:i w:val="0"/>
                <w:iCs w:val="0"/>
                <w:noProof/>
                <w:webHidden/>
              </w:rPr>
              <w:t>27</w:t>
            </w:r>
            <w:r w:rsidRPr="00920662">
              <w:rPr>
                <w:i w:val="0"/>
                <w:iCs w:val="0"/>
                <w:noProof/>
                <w:webHidden/>
              </w:rPr>
              <w:fldChar w:fldCharType="end"/>
            </w:r>
          </w:hyperlink>
        </w:p>
        <w:p w14:paraId="5F8A02BC" w14:textId="4140E1C8"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00" w:history="1">
            <w:r w:rsidRPr="00920662">
              <w:rPr>
                <w:rStyle w:val="Hyperlink"/>
                <w:rFonts w:ascii="Times New Roman" w:hAnsi="Times New Roman"/>
                <w:i w:val="0"/>
                <w:iCs w:val="0"/>
                <w:noProof/>
                <w:lang w:val="en-US"/>
              </w:rPr>
              <w:t>3.2. The interpretation of Article II(c) of the Genocide Convention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_Toc230376200 \h </w:instrText>
            </w:r>
            <w:r w:rsidRPr="00920662">
              <w:rPr>
                <w:i w:val="0"/>
                <w:iCs w:val="0"/>
                <w:noProof/>
                <w:webHidden/>
              </w:rPr>
            </w:r>
            <w:r w:rsidRPr="00920662">
              <w:rPr>
                <w:i w:val="0"/>
                <w:iCs w:val="0"/>
                <w:noProof/>
                <w:webHidden/>
              </w:rPr>
              <w:fldChar w:fldCharType="separate"/>
            </w:r>
            <w:r w:rsidR="005E20A0">
              <w:rPr>
                <w:i w:val="0"/>
                <w:iCs w:val="0"/>
                <w:noProof/>
                <w:webHidden/>
              </w:rPr>
              <w:t>28</w:t>
            </w:r>
            <w:r w:rsidRPr="00920662">
              <w:rPr>
                <w:i w:val="0"/>
                <w:iCs w:val="0"/>
                <w:noProof/>
                <w:webHidden/>
              </w:rPr>
              <w:fldChar w:fldCharType="end"/>
            </w:r>
          </w:hyperlink>
        </w:p>
        <w:p w14:paraId="4C97DCD5" w14:textId="534FCAAF"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01" w:history="1">
            <w:r w:rsidRPr="00920662">
              <w:rPr>
                <w:rStyle w:val="Hyperlink"/>
                <w:rFonts w:ascii="Times New Roman" w:hAnsi="Times New Roman"/>
                <w:i w:val="0"/>
                <w:iCs w:val="0"/>
                <w:noProof/>
                <w:lang w:val="en-US"/>
              </w:rPr>
              <w:t>3.3. Thresholds of destruction: when does indirect harm amount to genocide?</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_Toc230376201 \h </w:instrText>
            </w:r>
            <w:r w:rsidRPr="00920662">
              <w:rPr>
                <w:i w:val="0"/>
                <w:iCs w:val="0"/>
                <w:noProof/>
                <w:webHidden/>
              </w:rPr>
            </w:r>
            <w:r w:rsidRPr="00920662">
              <w:rPr>
                <w:i w:val="0"/>
                <w:iCs w:val="0"/>
                <w:noProof/>
                <w:webHidden/>
              </w:rPr>
              <w:fldChar w:fldCharType="separate"/>
            </w:r>
            <w:r w:rsidR="005E20A0">
              <w:rPr>
                <w:i w:val="0"/>
                <w:iCs w:val="0"/>
                <w:noProof/>
                <w:webHidden/>
              </w:rPr>
              <w:t>32</w:t>
            </w:r>
            <w:r w:rsidRPr="00920662">
              <w:rPr>
                <w:i w:val="0"/>
                <w:iCs w:val="0"/>
                <w:noProof/>
                <w:webHidden/>
              </w:rPr>
              <w:fldChar w:fldCharType="end"/>
            </w:r>
          </w:hyperlink>
        </w:p>
        <w:p w14:paraId="78FFBEDA" w14:textId="4BC8C21D"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02" w:history="1">
            <w:r w:rsidRPr="00920662">
              <w:rPr>
                <w:rStyle w:val="Hyperlink"/>
                <w:noProof/>
                <w:lang w:val="en-US"/>
              </w:rPr>
              <w:t>3.3.1. The recognition of indirect destruction: ICTR</w:t>
            </w:r>
            <w:r w:rsidRPr="00920662">
              <w:rPr>
                <w:noProof/>
                <w:webHidden/>
              </w:rPr>
              <w:tab/>
            </w:r>
            <w:r w:rsidRPr="00920662">
              <w:rPr>
                <w:noProof/>
                <w:webHidden/>
              </w:rPr>
              <w:fldChar w:fldCharType="begin"/>
            </w:r>
            <w:r w:rsidRPr="00920662">
              <w:rPr>
                <w:noProof/>
                <w:webHidden/>
              </w:rPr>
              <w:instrText xml:space="preserve"> PAGEREF _Toc230376202 \h </w:instrText>
            </w:r>
            <w:r w:rsidRPr="00920662">
              <w:rPr>
                <w:noProof/>
                <w:webHidden/>
              </w:rPr>
            </w:r>
            <w:r w:rsidRPr="00920662">
              <w:rPr>
                <w:noProof/>
                <w:webHidden/>
              </w:rPr>
              <w:fldChar w:fldCharType="separate"/>
            </w:r>
            <w:r w:rsidR="005E20A0">
              <w:rPr>
                <w:noProof/>
                <w:webHidden/>
              </w:rPr>
              <w:t>33</w:t>
            </w:r>
            <w:r w:rsidRPr="00920662">
              <w:rPr>
                <w:noProof/>
                <w:webHidden/>
              </w:rPr>
              <w:fldChar w:fldCharType="end"/>
            </w:r>
          </w:hyperlink>
        </w:p>
        <w:p w14:paraId="0649AB7B" w14:textId="72140264"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03" w:history="1">
            <w:r w:rsidRPr="00920662">
              <w:rPr>
                <w:rStyle w:val="Hyperlink"/>
                <w:noProof/>
                <w:lang w:val="en-US"/>
              </w:rPr>
              <w:t xml:space="preserve">3.3.2. </w:t>
            </w:r>
            <w:r w:rsidRPr="00920662">
              <w:rPr>
                <w:rStyle w:val="Hyperlink"/>
                <w:noProof/>
              </w:rPr>
              <w:t>The limitation of indirect destruction</w:t>
            </w:r>
            <w:r w:rsidRPr="00920662">
              <w:rPr>
                <w:rStyle w:val="Hyperlink"/>
                <w:noProof/>
                <w:lang w:val="en-US"/>
              </w:rPr>
              <w:t>: ICTY</w:t>
            </w:r>
            <w:r w:rsidRPr="00920662">
              <w:rPr>
                <w:noProof/>
                <w:webHidden/>
              </w:rPr>
              <w:tab/>
            </w:r>
            <w:r w:rsidRPr="00920662">
              <w:rPr>
                <w:noProof/>
                <w:webHidden/>
              </w:rPr>
              <w:fldChar w:fldCharType="begin"/>
            </w:r>
            <w:r w:rsidRPr="00920662">
              <w:rPr>
                <w:noProof/>
                <w:webHidden/>
              </w:rPr>
              <w:instrText xml:space="preserve"> PAGEREF _Toc230376203 \h </w:instrText>
            </w:r>
            <w:r w:rsidRPr="00920662">
              <w:rPr>
                <w:noProof/>
                <w:webHidden/>
              </w:rPr>
            </w:r>
            <w:r w:rsidRPr="00920662">
              <w:rPr>
                <w:noProof/>
                <w:webHidden/>
              </w:rPr>
              <w:fldChar w:fldCharType="separate"/>
            </w:r>
            <w:r w:rsidR="005E20A0">
              <w:rPr>
                <w:noProof/>
                <w:webHidden/>
              </w:rPr>
              <w:t>33</w:t>
            </w:r>
            <w:r w:rsidRPr="00920662">
              <w:rPr>
                <w:noProof/>
                <w:webHidden/>
              </w:rPr>
              <w:fldChar w:fldCharType="end"/>
            </w:r>
          </w:hyperlink>
        </w:p>
        <w:p w14:paraId="534451F1" w14:textId="6FCF5D91"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04" w:history="1">
            <w:r w:rsidRPr="00920662">
              <w:rPr>
                <w:rStyle w:val="Hyperlink"/>
                <w:noProof/>
              </w:rPr>
              <w:t>3.3.3. Environmental destruction within genocidal campaign: ICC</w:t>
            </w:r>
            <w:r w:rsidRPr="00920662">
              <w:rPr>
                <w:noProof/>
                <w:webHidden/>
              </w:rPr>
              <w:tab/>
            </w:r>
            <w:r w:rsidRPr="00920662">
              <w:rPr>
                <w:noProof/>
                <w:webHidden/>
              </w:rPr>
              <w:fldChar w:fldCharType="begin"/>
            </w:r>
            <w:r w:rsidRPr="00920662">
              <w:rPr>
                <w:noProof/>
                <w:webHidden/>
              </w:rPr>
              <w:instrText xml:space="preserve"> PAGEREF _Toc230376204 \h </w:instrText>
            </w:r>
            <w:r w:rsidRPr="00920662">
              <w:rPr>
                <w:noProof/>
                <w:webHidden/>
              </w:rPr>
            </w:r>
            <w:r w:rsidRPr="00920662">
              <w:rPr>
                <w:noProof/>
                <w:webHidden/>
              </w:rPr>
              <w:fldChar w:fldCharType="separate"/>
            </w:r>
            <w:r w:rsidR="005E20A0">
              <w:rPr>
                <w:noProof/>
                <w:webHidden/>
              </w:rPr>
              <w:t>34</w:t>
            </w:r>
            <w:r w:rsidRPr="00920662">
              <w:rPr>
                <w:noProof/>
                <w:webHidden/>
              </w:rPr>
              <w:fldChar w:fldCharType="end"/>
            </w:r>
          </w:hyperlink>
        </w:p>
        <w:p w14:paraId="7F087698" w14:textId="5FE762A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05" w:history="1">
            <w:r w:rsidRPr="00920662">
              <w:rPr>
                <w:rStyle w:val="Hyperlink"/>
                <w:noProof/>
              </w:rPr>
              <w:t>3.3.5. Limits for environmental destruction</w:t>
            </w:r>
            <w:r w:rsidRPr="00920662">
              <w:rPr>
                <w:noProof/>
                <w:webHidden/>
              </w:rPr>
              <w:tab/>
            </w:r>
            <w:r w:rsidRPr="00920662">
              <w:rPr>
                <w:noProof/>
                <w:webHidden/>
              </w:rPr>
              <w:fldChar w:fldCharType="begin"/>
            </w:r>
            <w:r w:rsidRPr="00920662">
              <w:rPr>
                <w:noProof/>
                <w:webHidden/>
              </w:rPr>
              <w:instrText xml:space="preserve"> PAGEREF _Toc230376205 \h </w:instrText>
            </w:r>
            <w:r w:rsidRPr="00920662">
              <w:rPr>
                <w:noProof/>
                <w:webHidden/>
              </w:rPr>
            </w:r>
            <w:r w:rsidRPr="00920662">
              <w:rPr>
                <w:noProof/>
                <w:webHidden/>
              </w:rPr>
              <w:fldChar w:fldCharType="separate"/>
            </w:r>
            <w:r w:rsidR="005E20A0">
              <w:rPr>
                <w:noProof/>
                <w:webHidden/>
              </w:rPr>
              <w:t>36</w:t>
            </w:r>
            <w:r w:rsidRPr="00920662">
              <w:rPr>
                <w:noProof/>
                <w:webHidden/>
              </w:rPr>
              <w:fldChar w:fldCharType="end"/>
            </w:r>
          </w:hyperlink>
        </w:p>
        <w:p w14:paraId="02BAA294" w14:textId="00049CBB"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206" w:history="1">
            <w:r w:rsidRPr="00920662">
              <w:rPr>
                <w:rStyle w:val="Hyperlink"/>
                <w:rFonts w:ascii="Times New Roman" w:hAnsi="Times New Roman"/>
                <w:noProof/>
                <w:lang w:val="en-US"/>
              </w:rPr>
              <w:t>Chapter 4. Applying Article II(c) to Environmental Destruction</w:t>
            </w:r>
            <w:r w:rsidRPr="00920662">
              <w:rPr>
                <w:noProof/>
                <w:webHidden/>
              </w:rPr>
              <w:tab/>
            </w:r>
            <w:r w:rsidRPr="00920662">
              <w:rPr>
                <w:noProof/>
                <w:webHidden/>
              </w:rPr>
              <w:fldChar w:fldCharType="begin"/>
            </w:r>
            <w:r w:rsidRPr="00920662">
              <w:rPr>
                <w:noProof/>
                <w:webHidden/>
              </w:rPr>
              <w:instrText xml:space="preserve"> PAGEREF _Toc230376206 \h </w:instrText>
            </w:r>
            <w:r w:rsidRPr="00920662">
              <w:rPr>
                <w:noProof/>
                <w:webHidden/>
              </w:rPr>
            </w:r>
            <w:r w:rsidRPr="00920662">
              <w:rPr>
                <w:noProof/>
                <w:webHidden/>
              </w:rPr>
              <w:fldChar w:fldCharType="separate"/>
            </w:r>
            <w:r w:rsidR="005E20A0">
              <w:rPr>
                <w:noProof/>
                <w:webHidden/>
              </w:rPr>
              <w:t>38</w:t>
            </w:r>
            <w:r w:rsidRPr="00920662">
              <w:rPr>
                <w:noProof/>
                <w:webHidden/>
              </w:rPr>
              <w:fldChar w:fldCharType="end"/>
            </w:r>
          </w:hyperlink>
        </w:p>
        <w:p w14:paraId="4CFBB6E5" w14:textId="51B84F5F"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07" w:history="1">
            <w:r w:rsidRPr="00920662">
              <w:rPr>
                <w:rStyle w:val="Hyperlink"/>
                <w:rFonts w:ascii="Times New Roman" w:hAnsi="Times New Roman"/>
                <w:i w:val="0"/>
                <w:iCs w:val="0"/>
                <w:noProof/>
                <w:lang w:val="en-US" w:eastAsia="nl-NL"/>
              </w:rPr>
              <w:t>4.1 Introduction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_Toc230376207 \h </w:instrText>
            </w:r>
            <w:r w:rsidRPr="00920662">
              <w:rPr>
                <w:i w:val="0"/>
                <w:iCs w:val="0"/>
                <w:noProof/>
                <w:webHidden/>
              </w:rPr>
            </w:r>
            <w:r w:rsidRPr="00920662">
              <w:rPr>
                <w:i w:val="0"/>
                <w:iCs w:val="0"/>
                <w:noProof/>
                <w:webHidden/>
              </w:rPr>
              <w:fldChar w:fldCharType="separate"/>
            </w:r>
            <w:r w:rsidR="005E20A0">
              <w:rPr>
                <w:i w:val="0"/>
                <w:iCs w:val="0"/>
                <w:noProof/>
                <w:webHidden/>
              </w:rPr>
              <w:t>38</w:t>
            </w:r>
            <w:r w:rsidRPr="00920662">
              <w:rPr>
                <w:i w:val="0"/>
                <w:iCs w:val="0"/>
                <w:noProof/>
                <w:webHidden/>
              </w:rPr>
              <w:fldChar w:fldCharType="end"/>
            </w:r>
          </w:hyperlink>
        </w:p>
        <w:p w14:paraId="6FA452B2" w14:textId="26D0ECC6"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08" w:history="1">
            <w:r w:rsidRPr="00920662">
              <w:rPr>
                <w:rStyle w:val="Hyperlink"/>
                <w:rFonts w:ascii="Times New Roman" w:hAnsi="Times New Roman"/>
                <w:i w:val="0"/>
                <w:iCs w:val="0"/>
                <w:noProof/>
                <w:lang w:val="en-US" w:eastAsia="nl-NL"/>
              </w:rPr>
              <w:t>4.2 Applying Article II(c) to Environmental Destruction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_Toc230376208 \h </w:instrText>
            </w:r>
            <w:r w:rsidRPr="00920662">
              <w:rPr>
                <w:i w:val="0"/>
                <w:iCs w:val="0"/>
                <w:noProof/>
                <w:webHidden/>
              </w:rPr>
            </w:r>
            <w:r w:rsidRPr="00920662">
              <w:rPr>
                <w:i w:val="0"/>
                <w:iCs w:val="0"/>
                <w:noProof/>
                <w:webHidden/>
              </w:rPr>
              <w:fldChar w:fldCharType="separate"/>
            </w:r>
            <w:r w:rsidR="005E20A0">
              <w:rPr>
                <w:i w:val="0"/>
                <w:iCs w:val="0"/>
                <w:noProof/>
                <w:webHidden/>
              </w:rPr>
              <w:t>39</w:t>
            </w:r>
            <w:r w:rsidRPr="00920662">
              <w:rPr>
                <w:i w:val="0"/>
                <w:iCs w:val="0"/>
                <w:noProof/>
                <w:webHidden/>
              </w:rPr>
              <w:fldChar w:fldCharType="end"/>
            </w:r>
          </w:hyperlink>
        </w:p>
        <w:p w14:paraId="0E056FE7" w14:textId="12CE74B4"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09" w:history="1">
            <w:r w:rsidRPr="00920662">
              <w:rPr>
                <w:rStyle w:val="Hyperlink"/>
                <w:noProof/>
              </w:rPr>
              <w:t>4.2.1 Step 1: The existence of environmental destruction</w:t>
            </w:r>
            <w:r w:rsidRPr="00920662">
              <w:rPr>
                <w:noProof/>
                <w:webHidden/>
              </w:rPr>
              <w:tab/>
            </w:r>
            <w:r w:rsidRPr="00920662">
              <w:rPr>
                <w:noProof/>
                <w:webHidden/>
              </w:rPr>
              <w:fldChar w:fldCharType="begin"/>
            </w:r>
            <w:r w:rsidRPr="00920662">
              <w:rPr>
                <w:noProof/>
                <w:webHidden/>
              </w:rPr>
              <w:instrText xml:space="preserve"> PAGEREF _Toc230376209 \h </w:instrText>
            </w:r>
            <w:r w:rsidRPr="00920662">
              <w:rPr>
                <w:noProof/>
                <w:webHidden/>
              </w:rPr>
            </w:r>
            <w:r w:rsidRPr="00920662">
              <w:rPr>
                <w:noProof/>
                <w:webHidden/>
              </w:rPr>
              <w:fldChar w:fldCharType="separate"/>
            </w:r>
            <w:r w:rsidR="005E20A0">
              <w:rPr>
                <w:noProof/>
                <w:webHidden/>
              </w:rPr>
              <w:t>39</w:t>
            </w:r>
            <w:r w:rsidRPr="00920662">
              <w:rPr>
                <w:noProof/>
                <w:webHidden/>
              </w:rPr>
              <w:fldChar w:fldCharType="end"/>
            </w:r>
          </w:hyperlink>
        </w:p>
        <w:p w14:paraId="01A2A05A" w14:textId="1794C98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10" w:history="1">
            <w:r w:rsidRPr="00920662">
              <w:rPr>
                <w:rStyle w:val="Hyperlink"/>
                <w:noProof/>
              </w:rPr>
              <w:t>4.2.2 Step 2: The destruction must affect ‘conditions of life’</w:t>
            </w:r>
            <w:r w:rsidRPr="00920662">
              <w:rPr>
                <w:noProof/>
                <w:webHidden/>
              </w:rPr>
              <w:tab/>
            </w:r>
            <w:r w:rsidRPr="00920662">
              <w:rPr>
                <w:noProof/>
                <w:webHidden/>
              </w:rPr>
              <w:fldChar w:fldCharType="begin"/>
            </w:r>
            <w:r w:rsidRPr="00920662">
              <w:rPr>
                <w:noProof/>
                <w:webHidden/>
              </w:rPr>
              <w:instrText xml:space="preserve"> PAGEREF _Toc230376210 \h </w:instrText>
            </w:r>
            <w:r w:rsidRPr="00920662">
              <w:rPr>
                <w:noProof/>
                <w:webHidden/>
              </w:rPr>
            </w:r>
            <w:r w:rsidRPr="00920662">
              <w:rPr>
                <w:noProof/>
                <w:webHidden/>
              </w:rPr>
              <w:fldChar w:fldCharType="separate"/>
            </w:r>
            <w:r w:rsidR="005E20A0">
              <w:rPr>
                <w:noProof/>
                <w:webHidden/>
              </w:rPr>
              <w:t>40</w:t>
            </w:r>
            <w:r w:rsidRPr="00920662">
              <w:rPr>
                <w:noProof/>
                <w:webHidden/>
              </w:rPr>
              <w:fldChar w:fldCharType="end"/>
            </w:r>
          </w:hyperlink>
        </w:p>
        <w:p w14:paraId="56EE4F59" w14:textId="58BFEAD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11" w:history="1">
            <w:r w:rsidRPr="00920662">
              <w:rPr>
                <w:rStyle w:val="Hyperlink"/>
                <w:noProof/>
                <w:lang w:val="nl-BE" w:eastAsia="nl-NL"/>
              </w:rPr>
              <w:t>4.2.3 Step 3: The threshold of physical destruction</w:t>
            </w:r>
            <w:r w:rsidRPr="00920662">
              <w:rPr>
                <w:noProof/>
                <w:webHidden/>
              </w:rPr>
              <w:tab/>
            </w:r>
            <w:r w:rsidRPr="00920662">
              <w:rPr>
                <w:noProof/>
                <w:webHidden/>
              </w:rPr>
              <w:fldChar w:fldCharType="begin"/>
            </w:r>
            <w:r w:rsidRPr="00920662">
              <w:rPr>
                <w:noProof/>
                <w:webHidden/>
              </w:rPr>
              <w:instrText xml:space="preserve"> PAGEREF _Toc230376211 \h </w:instrText>
            </w:r>
            <w:r w:rsidRPr="00920662">
              <w:rPr>
                <w:noProof/>
                <w:webHidden/>
              </w:rPr>
            </w:r>
            <w:r w:rsidRPr="00920662">
              <w:rPr>
                <w:noProof/>
                <w:webHidden/>
              </w:rPr>
              <w:fldChar w:fldCharType="separate"/>
            </w:r>
            <w:r w:rsidR="005E20A0">
              <w:rPr>
                <w:noProof/>
                <w:webHidden/>
              </w:rPr>
              <w:t>41</w:t>
            </w:r>
            <w:r w:rsidRPr="00920662">
              <w:rPr>
                <w:noProof/>
                <w:webHidden/>
              </w:rPr>
              <w:fldChar w:fldCharType="end"/>
            </w:r>
          </w:hyperlink>
        </w:p>
        <w:p w14:paraId="0F66DB15" w14:textId="475AD1D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12" w:history="1">
            <w:r w:rsidRPr="00920662">
              <w:rPr>
                <w:rStyle w:val="Hyperlink"/>
                <w:noProof/>
              </w:rPr>
              <w:t>4.2.5 Step 5: The requirement of dolus specialis</w:t>
            </w:r>
            <w:r w:rsidRPr="00920662">
              <w:rPr>
                <w:noProof/>
                <w:webHidden/>
              </w:rPr>
              <w:tab/>
            </w:r>
            <w:r w:rsidRPr="00920662">
              <w:rPr>
                <w:noProof/>
                <w:webHidden/>
              </w:rPr>
              <w:fldChar w:fldCharType="begin"/>
            </w:r>
            <w:r w:rsidRPr="00920662">
              <w:rPr>
                <w:noProof/>
                <w:webHidden/>
              </w:rPr>
              <w:instrText xml:space="preserve"> PAGEREF _Toc230376212 \h </w:instrText>
            </w:r>
            <w:r w:rsidRPr="00920662">
              <w:rPr>
                <w:noProof/>
                <w:webHidden/>
              </w:rPr>
            </w:r>
            <w:r w:rsidRPr="00920662">
              <w:rPr>
                <w:noProof/>
                <w:webHidden/>
              </w:rPr>
              <w:fldChar w:fldCharType="separate"/>
            </w:r>
            <w:r w:rsidR="005E20A0">
              <w:rPr>
                <w:noProof/>
                <w:webHidden/>
              </w:rPr>
              <w:t>42</w:t>
            </w:r>
            <w:r w:rsidRPr="00920662">
              <w:rPr>
                <w:noProof/>
                <w:webHidden/>
              </w:rPr>
              <w:fldChar w:fldCharType="end"/>
            </w:r>
          </w:hyperlink>
        </w:p>
        <w:p w14:paraId="77EF7A16" w14:textId="54B8EE8A"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13" w:history="1">
            <w:r w:rsidRPr="00920662">
              <w:rPr>
                <w:rStyle w:val="Hyperlink"/>
                <w:rFonts w:ascii="Times New Roman" w:hAnsi="Times New Roman"/>
                <w:i w:val="0"/>
                <w:iCs w:val="0"/>
                <w:noProof/>
              </w:rPr>
              <w:t>4.3 Environmental destruction and ecocide</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_Toc230376213 \h </w:instrText>
            </w:r>
            <w:r w:rsidRPr="00920662">
              <w:rPr>
                <w:i w:val="0"/>
                <w:iCs w:val="0"/>
                <w:noProof/>
                <w:webHidden/>
              </w:rPr>
            </w:r>
            <w:r w:rsidRPr="00920662">
              <w:rPr>
                <w:i w:val="0"/>
                <w:iCs w:val="0"/>
                <w:noProof/>
                <w:webHidden/>
              </w:rPr>
              <w:fldChar w:fldCharType="separate"/>
            </w:r>
            <w:r w:rsidR="005E20A0">
              <w:rPr>
                <w:i w:val="0"/>
                <w:iCs w:val="0"/>
                <w:noProof/>
                <w:webHidden/>
              </w:rPr>
              <w:t>43</w:t>
            </w:r>
            <w:r w:rsidRPr="00920662">
              <w:rPr>
                <w:i w:val="0"/>
                <w:iCs w:val="0"/>
                <w:noProof/>
                <w:webHidden/>
              </w:rPr>
              <w:fldChar w:fldCharType="end"/>
            </w:r>
          </w:hyperlink>
        </w:p>
        <w:p w14:paraId="392B8671" w14:textId="0F7E4032"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14" w:history="1">
            <w:r w:rsidRPr="00920662">
              <w:rPr>
                <w:rStyle w:val="Hyperlink"/>
                <w:rFonts w:ascii="Times New Roman" w:hAnsi="Times New Roman"/>
                <w:i w:val="0"/>
                <w:iCs w:val="0"/>
                <w:noProof/>
                <w:lang w:val="nl-BE" w:eastAsia="en-US"/>
              </w:rPr>
              <w:t>4.4 Applying the framework to the conflict in Gaza</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_Toc230376214 \h </w:instrText>
            </w:r>
            <w:r w:rsidRPr="00920662">
              <w:rPr>
                <w:i w:val="0"/>
                <w:iCs w:val="0"/>
                <w:noProof/>
                <w:webHidden/>
              </w:rPr>
            </w:r>
            <w:r w:rsidRPr="00920662">
              <w:rPr>
                <w:i w:val="0"/>
                <w:iCs w:val="0"/>
                <w:noProof/>
                <w:webHidden/>
              </w:rPr>
              <w:fldChar w:fldCharType="separate"/>
            </w:r>
            <w:r w:rsidR="005E20A0">
              <w:rPr>
                <w:i w:val="0"/>
                <w:iCs w:val="0"/>
                <w:noProof/>
                <w:webHidden/>
              </w:rPr>
              <w:t>44</w:t>
            </w:r>
            <w:r w:rsidRPr="00920662">
              <w:rPr>
                <w:i w:val="0"/>
                <w:iCs w:val="0"/>
                <w:noProof/>
                <w:webHidden/>
              </w:rPr>
              <w:fldChar w:fldCharType="end"/>
            </w:r>
          </w:hyperlink>
        </w:p>
        <w:p w14:paraId="55D17ED5" w14:textId="10F068F1"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215" w:history="1">
            <w:r w:rsidRPr="00920662">
              <w:rPr>
                <w:rStyle w:val="Hyperlink"/>
                <w:rFonts w:ascii="Times New Roman" w:hAnsi="Times New Roman"/>
                <w:noProof/>
                <w:lang w:val="nl-BE" w:eastAsia="en-US"/>
              </w:rPr>
              <w:t>Conclusion</w:t>
            </w:r>
            <w:r w:rsidRPr="00920662">
              <w:rPr>
                <w:noProof/>
                <w:webHidden/>
              </w:rPr>
              <w:tab/>
            </w:r>
            <w:r w:rsidRPr="00920662">
              <w:rPr>
                <w:noProof/>
                <w:webHidden/>
              </w:rPr>
              <w:fldChar w:fldCharType="begin"/>
            </w:r>
            <w:r w:rsidRPr="00920662">
              <w:rPr>
                <w:noProof/>
                <w:webHidden/>
              </w:rPr>
              <w:instrText xml:space="preserve"> PAGEREF _Toc230376215 \h </w:instrText>
            </w:r>
            <w:r w:rsidRPr="00920662">
              <w:rPr>
                <w:noProof/>
                <w:webHidden/>
              </w:rPr>
            </w:r>
            <w:r w:rsidRPr="00920662">
              <w:rPr>
                <w:noProof/>
                <w:webHidden/>
              </w:rPr>
              <w:fldChar w:fldCharType="separate"/>
            </w:r>
            <w:r w:rsidR="005E20A0">
              <w:rPr>
                <w:noProof/>
                <w:webHidden/>
              </w:rPr>
              <w:t>47</w:t>
            </w:r>
            <w:r w:rsidRPr="00920662">
              <w:rPr>
                <w:noProof/>
                <w:webHidden/>
              </w:rPr>
              <w:fldChar w:fldCharType="end"/>
            </w:r>
          </w:hyperlink>
        </w:p>
        <w:p w14:paraId="60FB8CCA" w14:textId="1DCF2268" w:rsidR="00890248" w:rsidRPr="00920662" w:rsidRDefault="00890248" w:rsidP="00920662">
          <w:pPr>
            <w:pStyle w:val="Inhopg1"/>
            <w:spacing w:line="360" w:lineRule="auto"/>
            <w:rPr>
              <w:rFonts w:eastAsiaTheme="minorEastAsia" w:cstheme="minorBidi"/>
              <w:b w:val="0"/>
              <w:bCs w:val="0"/>
              <w:noProof/>
              <w:kern w:val="2"/>
              <w:sz w:val="24"/>
              <w:szCs w:val="24"/>
              <w:lang w:val="nl-BE" w:eastAsia="nl-NL"/>
              <w14:ligatures w14:val="standardContextual"/>
            </w:rPr>
          </w:pPr>
          <w:hyperlink w:anchor="_Toc230376216" w:history="1">
            <w:r w:rsidRPr="00920662">
              <w:rPr>
                <w:rStyle w:val="Hyperlink"/>
                <w:rFonts w:ascii="Times New Roman" w:hAnsi="Times New Roman"/>
                <w:noProof/>
              </w:rPr>
              <w:t>Bibliography</w:t>
            </w:r>
            <w:r w:rsidRPr="00920662">
              <w:rPr>
                <w:noProof/>
                <w:webHidden/>
              </w:rPr>
              <w:tab/>
            </w:r>
            <w:r w:rsidRPr="00920662">
              <w:rPr>
                <w:noProof/>
                <w:webHidden/>
              </w:rPr>
              <w:fldChar w:fldCharType="begin"/>
            </w:r>
            <w:r w:rsidRPr="00920662">
              <w:rPr>
                <w:noProof/>
                <w:webHidden/>
              </w:rPr>
              <w:instrText xml:space="preserve"> PAGEREF _Toc230376216 \h </w:instrText>
            </w:r>
            <w:r w:rsidRPr="00920662">
              <w:rPr>
                <w:noProof/>
                <w:webHidden/>
              </w:rPr>
            </w:r>
            <w:r w:rsidRPr="00920662">
              <w:rPr>
                <w:noProof/>
                <w:webHidden/>
              </w:rPr>
              <w:fldChar w:fldCharType="separate"/>
            </w:r>
            <w:r w:rsidR="005E20A0">
              <w:rPr>
                <w:noProof/>
                <w:webHidden/>
              </w:rPr>
              <w:t>49</w:t>
            </w:r>
            <w:r w:rsidRPr="00920662">
              <w:rPr>
                <w:noProof/>
                <w:webHidden/>
              </w:rPr>
              <w:fldChar w:fldCharType="end"/>
            </w:r>
          </w:hyperlink>
        </w:p>
        <w:p w14:paraId="2D55124D" w14:textId="59116B18"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17" w:history="1">
            <w:r w:rsidRPr="00920662">
              <w:rPr>
                <w:rStyle w:val="Hyperlink"/>
                <w:rFonts w:ascii="Times New Roman" w:hAnsi="Times New Roman"/>
                <w:b/>
                <w:bCs/>
                <w:i w:val="0"/>
                <w:iCs w:val="0"/>
                <w:noProof/>
              </w:rPr>
              <w:t>Legislation</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_Toc230376217 \h </w:instrText>
            </w:r>
            <w:r w:rsidRPr="00920662">
              <w:rPr>
                <w:i w:val="0"/>
                <w:iCs w:val="0"/>
                <w:noProof/>
                <w:webHidden/>
              </w:rPr>
            </w:r>
            <w:r w:rsidRPr="00920662">
              <w:rPr>
                <w:i w:val="0"/>
                <w:iCs w:val="0"/>
                <w:noProof/>
                <w:webHidden/>
              </w:rPr>
              <w:fldChar w:fldCharType="separate"/>
            </w:r>
            <w:r w:rsidR="005E20A0">
              <w:rPr>
                <w:i w:val="0"/>
                <w:iCs w:val="0"/>
                <w:noProof/>
                <w:webHidden/>
              </w:rPr>
              <w:t>49</w:t>
            </w:r>
            <w:r w:rsidRPr="00920662">
              <w:rPr>
                <w:i w:val="0"/>
                <w:iCs w:val="0"/>
                <w:noProof/>
                <w:webHidden/>
              </w:rPr>
              <w:fldChar w:fldCharType="end"/>
            </w:r>
          </w:hyperlink>
        </w:p>
        <w:p w14:paraId="33ABE38C" w14:textId="04B8BE54"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18" w:history="1">
            <w:r w:rsidRPr="00920662">
              <w:rPr>
                <w:rStyle w:val="Hyperlink"/>
                <w:rFonts w:ascii="Times New Roman" w:hAnsi="Times New Roman"/>
                <w:b/>
                <w:bCs/>
                <w:i w:val="0"/>
                <w:iCs w:val="0"/>
                <w:noProof/>
                <w:lang w:val="nl-BE"/>
              </w:rPr>
              <w:t>Official documents</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_Toc230376218 \h </w:instrText>
            </w:r>
            <w:r w:rsidRPr="00920662">
              <w:rPr>
                <w:i w:val="0"/>
                <w:iCs w:val="0"/>
                <w:noProof/>
                <w:webHidden/>
              </w:rPr>
            </w:r>
            <w:r w:rsidRPr="00920662">
              <w:rPr>
                <w:i w:val="0"/>
                <w:iCs w:val="0"/>
                <w:noProof/>
                <w:webHidden/>
              </w:rPr>
              <w:fldChar w:fldCharType="separate"/>
            </w:r>
            <w:r w:rsidR="005E20A0">
              <w:rPr>
                <w:i w:val="0"/>
                <w:iCs w:val="0"/>
                <w:noProof/>
                <w:webHidden/>
              </w:rPr>
              <w:t>49</w:t>
            </w:r>
            <w:r w:rsidRPr="00920662">
              <w:rPr>
                <w:i w:val="0"/>
                <w:iCs w:val="0"/>
                <w:noProof/>
                <w:webHidden/>
              </w:rPr>
              <w:fldChar w:fldCharType="end"/>
            </w:r>
          </w:hyperlink>
        </w:p>
        <w:p w14:paraId="644547F3" w14:textId="0CD9B3FD"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19" w:history="1">
            <w:r w:rsidRPr="00920662">
              <w:rPr>
                <w:rStyle w:val="Hyperlink"/>
                <w:rFonts w:ascii="Times New Roman" w:hAnsi="Times New Roman"/>
                <w:b/>
                <w:bCs/>
                <w:i w:val="0"/>
                <w:iCs w:val="0"/>
                <w:noProof/>
              </w:rPr>
              <w:t>Case law</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_Toc230376219 \h </w:instrText>
            </w:r>
            <w:r w:rsidRPr="00920662">
              <w:rPr>
                <w:i w:val="0"/>
                <w:iCs w:val="0"/>
                <w:noProof/>
                <w:webHidden/>
              </w:rPr>
            </w:r>
            <w:r w:rsidRPr="00920662">
              <w:rPr>
                <w:i w:val="0"/>
                <w:iCs w:val="0"/>
                <w:noProof/>
                <w:webHidden/>
              </w:rPr>
              <w:fldChar w:fldCharType="separate"/>
            </w:r>
            <w:r w:rsidR="005E20A0">
              <w:rPr>
                <w:i w:val="0"/>
                <w:iCs w:val="0"/>
                <w:noProof/>
                <w:webHidden/>
              </w:rPr>
              <w:t>50</w:t>
            </w:r>
            <w:r w:rsidRPr="00920662">
              <w:rPr>
                <w:i w:val="0"/>
                <w:iCs w:val="0"/>
                <w:noProof/>
                <w:webHidden/>
              </w:rPr>
              <w:fldChar w:fldCharType="end"/>
            </w:r>
          </w:hyperlink>
        </w:p>
        <w:p w14:paraId="50E62A2A" w14:textId="5B8E0AE5"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0" w:history="1">
            <w:r w:rsidRPr="00920662">
              <w:rPr>
                <w:rStyle w:val="Hyperlink"/>
                <w:noProof/>
              </w:rPr>
              <w:t>PCIJ</w:t>
            </w:r>
            <w:r w:rsidRPr="00920662">
              <w:rPr>
                <w:noProof/>
                <w:webHidden/>
              </w:rPr>
              <w:tab/>
            </w:r>
            <w:r w:rsidRPr="00920662">
              <w:rPr>
                <w:noProof/>
                <w:webHidden/>
              </w:rPr>
              <w:fldChar w:fldCharType="begin"/>
            </w:r>
            <w:r w:rsidRPr="00920662">
              <w:rPr>
                <w:noProof/>
                <w:webHidden/>
              </w:rPr>
              <w:instrText xml:space="preserve"> PAGEREF _Toc230376220 \h </w:instrText>
            </w:r>
            <w:r w:rsidRPr="00920662">
              <w:rPr>
                <w:noProof/>
                <w:webHidden/>
              </w:rPr>
            </w:r>
            <w:r w:rsidRPr="00920662">
              <w:rPr>
                <w:noProof/>
                <w:webHidden/>
              </w:rPr>
              <w:fldChar w:fldCharType="separate"/>
            </w:r>
            <w:r w:rsidR="005E20A0">
              <w:rPr>
                <w:noProof/>
                <w:webHidden/>
              </w:rPr>
              <w:t>50</w:t>
            </w:r>
            <w:r w:rsidRPr="00920662">
              <w:rPr>
                <w:noProof/>
                <w:webHidden/>
              </w:rPr>
              <w:fldChar w:fldCharType="end"/>
            </w:r>
          </w:hyperlink>
        </w:p>
        <w:p w14:paraId="28EC74E3" w14:textId="354BD19C"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1" w:history="1">
            <w:r w:rsidRPr="00920662">
              <w:rPr>
                <w:rStyle w:val="Hyperlink"/>
                <w:noProof/>
              </w:rPr>
              <w:t>ICJ</w:t>
            </w:r>
            <w:r w:rsidRPr="00920662">
              <w:rPr>
                <w:noProof/>
                <w:webHidden/>
              </w:rPr>
              <w:tab/>
            </w:r>
            <w:r w:rsidRPr="00920662">
              <w:rPr>
                <w:noProof/>
                <w:webHidden/>
              </w:rPr>
              <w:fldChar w:fldCharType="begin"/>
            </w:r>
            <w:r w:rsidRPr="00920662">
              <w:rPr>
                <w:noProof/>
                <w:webHidden/>
              </w:rPr>
              <w:instrText xml:space="preserve"> PAGEREF _Toc230376221 \h </w:instrText>
            </w:r>
            <w:r w:rsidRPr="00920662">
              <w:rPr>
                <w:noProof/>
                <w:webHidden/>
              </w:rPr>
            </w:r>
            <w:r w:rsidRPr="00920662">
              <w:rPr>
                <w:noProof/>
                <w:webHidden/>
              </w:rPr>
              <w:fldChar w:fldCharType="separate"/>
            </w:r>
            <w:r w:rsidR="005E20A0">
              <w:rPr>
                <w:noProof/>
                <w:webHidden/>
              </w:rPr>
              <w:t>50</w:t>
            </w:r>
            <w:r w:rsidRPr="00920662">
              <w:rPr>
                <w:noProof/>
                <w:webHidden/>
              </w:rPr>
              <w:fldChar w:fldCharType="end"/>
            </w:r>
          </w:hyperlink>
        </w:p>
        <w:p w14:paraId="124CE3F6" w14:textId="15A601B3"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2" w:history="1">
            <w:r w:rsidRPr="00920662">
              <w:rPr>
                <w:rStyle w:val="Hyperlink"/>
                <w:noProof/>
              </w:rPr>
              <w:t>ICTR</w:t>
            </w:r>
            <w:r w:rsidRPr="00920662">
              <w:rPr>
                <w:noProof/>
                <w:webHidden/>
              </w:rPr>
              <w:tab/>
            </w:r>
            <w:r w:rsidRPr="00920662">
              <w:rPr>
                <w:noProof/>
                <w:webHidden/>
              </w:rPr>
              <w:fldChar w:fldCharType="begin"/>
            </w:r>
            <w:r w:rsidRPr="00920662">
              <w:rPr>
                <w:noProof/>
                <w:webHidden/>
              </w:rPr>
              <w:instrText xml:space="preserve"> PAGEREF _Toc230376222 \h </w:instrText>
            </w:r>
            <w:r w:rsidRPr="00920662">
              <w:rPr>
                <w:noProof/>
                <w:webHidden/>
              </w:rPr>
            </w:r>
            <w:r w:rsidRPr="00920662">
              <w:rPr>
                <w:noProof/>
                <w:webHidden/>
              </w:rPr>
              <w:fldChar w:fldCharType="separate"/>
            </w:r>
            <w:r w:rsidR="005E20A0">
              <w:rPr>
                <w:noProof/>
                <w:webHidden/>
              </w:rPr>
              <w:t>52</w:t>
            </w:r>
            <w:r w:rsidRPr="00920662">
              <w:rPr>
                <w:noProof/>
                <w:webHidden/>
              </w:rPr>
              <w:fldChar w:fldCharType="end"/>
            </w:r>
          </w:hyperlink>
        </w:p>
        <w:p w14:paraId="2AD21063" w14:textId="25E0819A"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3" w:history="1">
            <w:r w:rsidRPr="00920662">
              <w:rPr>
                <w:rStyle w:val="Hyperlink"/>
                <w:noProof/>
              </w:rPr>
              <w:t>ICC</w:t>
            </w:r>
            <w:r w:rsidRPr="00920662">
              <w:rPr>
                <w:noProof/>
                <w:webHidden/>
              </w:rPr>
              <w:tab/>
            </w:r>
            <w:r w:rsidRPr="00920662">
              <w:rPr>
                <w:noProof/>
                <w:webHidden/>
              </w:rPr>
              <w:fldChar w:fldCharType="begin"/>
            </w:r>
            <w:r w:rsidRPr="00920662">
              <w:rPr>
                <w:noProof/>
                <w:webHidden/>
              </w:rPr>
              <w:instrText xml:space="preserve"> PAGEREF _Toc230376223 \h </w:instrText>
            </w:r>
            <w:r w:rsidRPr="00920662">
              <w:rPr>
                <w:noProof/>
                <w:webHidden/>
              </w:rPr>
            </w:r>
            <w:r w:rsidRPr="00920662">
              <w:rPr>
                <w:noProof/>
                <w:webHidden/>
              </w:rPr>
              <w:fldChar w:fldCharType="separate"/>
            </w:r>
            <w:r w:rsidR="005E20A0">
              <w:rPr>
                <w:noProof/>
                <w:webHidden/>
              </w:rPr>
              <w:t>53</w:t>
            </w:r>
            <w:r w:rsidRPr="00920662">
              <w:rPr>
                <w:noProof/>
                <w:webHidden/>
              </w:rPr>
              <w:fldChar w:fldCharType="end"/>
            </w:r>
          </w:hyperlink>
        </w:p>
        <w:p w14:paraId="57CB6C65" w14:textId="06AC20EC"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4" w:history="1">
            <w:r w:rsidRPr="00920662">
              <w:rPr>
                <w:rStyle w:val="Hyperlink"/>
                <w:noProof/>
              </w:rPr>
              <w:t>ECtHR</w:t>
            </w:r>
            <w:r w:rsidRPr="00920662">
              <w:rPr>
                <w:noProof/>
                <w:webHidden/>
              </w:rPr>
              <w:tab/>
            </w:r>
            <w:r w:rsidRPr="00920662">
              <w:rPr>
                <w:noProof/>
                <w:webHidden/>
              </w:rPr>
              <w:fldChar w:fldCharType="begin"/>
            </w:r>
            <w:r w:rsidRPr="00920662">
              <w:rPr>
                <w:noProof/>
                <w:webHidden/>
              </w:rPr>
              <w:instrText xml:space="preserve"> PAGEREF _Toc230376224 \h </w:instrText>
            </w:r>
            <w:r w:rsidRPr="00920662">
              <w:rPr>
                <w:noProof/>
                <w:webHidden/>
              </w:rPr>
            </w:r>
            <w:r w:rsidRPr="00920662">
              <w:rPr>
                <w:noProof/>
                <w:webHidden/>
              </w:rPr>
              <w:fldChar w:fldCharType="separate"/>
            </w:r>
            <w:r w:rsidR="005E20A0">
              <w:rPr>
                <w:noProof/>
                <w:webHidden/>
              </w:rPr>
              <w:t>53</w:t>
            </w:r>
            <w:r w:rsidRPr="00920662">
              <w:rPr>
                <w:noProof/>
                <w:webHidden/>
              </w:rPr>
              <w:fldChar w:fldCharType="end"/>
            </w:r>
          </w:hyperlink>
        </w:p>
        <w:p w14:paraId="320A5501" w14:textId="4DB6C339"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5" w:history="1">
            <w:r w:rsidRPr="00920662">
              <w:rPr>
                <w:rStyle w:val="Hyperlink"/>
                <w:noProof/>
              </w:rPr>
              <w:t>European Union</w:t>
            </w:r>
            <w:r w:rsidRPr="00920662">
              <w:rPr>
                <w:noProof/>
                <w:webHidden/>
              </w:rPr>
              <w:tab/>
            </w:r>
            <w:r w:rsidRPr="00920662">
              <w:rPr>
                <w:noProof/>
                <w:webHidden/>
              </w:rPr>
              <w:fldChar w:fldCharType="begin"/>
            </w:r>
            <w:r w:rsidRPr="00920662">
              <w:rPr>
                <w:noProof/>
                <w:webHidden/>
              </w:rPr>
              <w:instrText xml:space="preserve"> PAGEREF _Toc230376225 \h </w:instrText>
            </w:r>
            <w:r w:rsidRPr="00920662">
              <w:rPr>
                <w:noProof/>
                <w:webHidden/>
              </w:rPr>
            </w:r>
            <w:r w:rsidRPr="00920662">
              <w:rPr>
                <w:noProof/>
                <w:webHidden/>
              </w:rPr>
              <w:fldChar w:fldCharType="separate"/>
            </w:r>
            <w:r w:rsidR="005E20A0">
              <w:rPr>
                <w:noProof/>
                <w:webHidden/>
              </w:rPr>
              <w:t>53</w:t>
            </w:r>
            <w:r w:rsidRPr="00920662">
              <w:rPr>
                <w:noProof/>
                <w:webHidden/>
              </w:rPr>
              <w:fldChar w:fldCharType="end"/>
            </w:r>
          </w:hyperlink>
        </w:p>
        <w:p w14:paraId="516BD9EF" w14:textId="0CA88D62"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6" w:history="1">
            <w:r w:rsidRPr="00920662">
              <w:rPr>
                <w:rStyle w:val="Hyperlink"/>
                <w:noProof/>
              </w:rPr>
              <w:t>Other international tribunals</w:t>
            </w:r>
            <w:r w:rsidRPr="00920662">
              <w:rPr>
                <w:noProof/>
                <w:webHidden/>
              </w:rPr>
              <w:tab/>
            </w:r>
            <w:r w:rsidRPr="00920662">
              <w:rPr>
                <w:noProof/>
                <w:webHidden/>
              </w:rPr>
              <w:fldChar w:fldCharType="begin"/>
            </w:r>
            <w:r w:rsidRPr="00920662">
              <w:rPr>
                <w:noProof/>
                <w:webHidden/>
              </w:rPr>
              <w:instrText xml:space="preserve"> PAGEREF _Toc230376226 \h </w:instrText>
            </w:r>
            <w:r w:rsidRPr="00920662">
              <w:rPr>
                <w:noProof/>
                <w:webHidden/>
              </w:rPr>
            </w:r>
            <w:r w:rsidRPr="00920662">
              <w:rPr>
                <w:noProof/>
                <w:webHidden/>
              </w:rPr>
              <w:fldChar w:fldCharType="separate"/>
            </w:r>
            <w:r w:rsidR="005E20A0">
              <w:rPr>
                <w:noProof/>
                <w:webHidden/>
              </w:rPr>
              <w:t>53</w:t>
            </w:r>
            <w:r w:rsidRPr="00920662">
              <w:rPr>
                <w:noProof/>
                <w:webHidden/>
              </w:rPr>
              <w:fldChar w:fldCharType="end"/>
            </w:r>
          </w:hyperlink>
        </w:p>
        <w:p w14:paraId="3194861C" w14:textId="1710895B" w:rsidR="00890248" w:rsidRPr="00920662" w:rsidRDefault="00890248" w:rsidP="00920662">
          <w:pPr>
            <w:pStyle w:val="Inhopg2"/>
            <w:spacing w:line="360" w:lineRule="auto"/>
            <w:rPr>
              <w:rFonts w:eastAsiaTheme="minorEastAsia" w:cstheme="minorBidi"/>
              <w:i w:val="0"/>
              <w:iCs w:val="0"/>
              <w:noProof/>
              <w:kern w:val="2"/>
              <w:sz w:val="24"/>
              <w:szCs w:val="24"/>
              <w:lang w:val="nl-BE" w:eastAsia="nl-NL"/>
              <w14:ligatures w14:val="standardContextual"/>
            </w:rPr>
          </w:pPr>
          <w:hyperlink w:anchor="_Toc230376227" w:history="1">
            <w:r w:rsidRPr="00920662">
              <w:rPr>
                <w:rStyle w:val="Hyperlink"/>
                <w:rFonts w:ascii="Times New Roman" w:hAnsi="Times New Roman"/>
                <w:b/>
                <w:bCs/>
                <w:i w:val="0"/>
                <w:iCs w:val="0"/>
                <w:noProof/>
              </w:rPr>
              <w:t>Jurisprudence</w:t>
            </w:r>
            <w:r w:rsidRPr="00920662">
              <w:rPr>
                <w:i w:val="0"/>
                <w:iCs w:val="0"/>
                <w:noProof/>
                <w:webHidden/>
              </w:rPr>
              <w:tab/>
            </w:r>
            <w:r w:rsidRPr="00920662">
              <w:rPr>
                <w:i w:val="0"/>
                <w:iCs w:val="0"/>
                <w:noProof/>
                <w:webHidden/>
              </w:rPr>
              <w:fldChar w:fldCharType="begin"/>
            </w:r>
            <w:r w:rsidRPr="00920662">
              <w:rPr>
                <w:i w:val="0"/>
                <w:iCs w:val="0"/>
                <w:noProof/>
                <w:webHidden/>
              </w:rPr>
              <w:instrText xml:space="preserve"> PAGEREF _Toc230376227 \h </w:instrText>
            </w:r>
            <w:r w:rsidRPr="00920662">
              <w:rPr>
                <w:i w:val="0"/>
                <w:iCs w:val="0"/>
                <w:noProof/>
                <w:webHidden/>
              </w:rPr>
            </w:r>
            <w:r w:rsidRPr="00920662">
              <w:rPr>
                <w:i w:val="0"/>
                <w:iCs w:val="0"/>
                <w:noProof/>
                <w:webHidden/>
              </w:rPr>
              <w:fldChar w:fldCharType="separate"/>
            </w:r>
            <w:r w:rsidR="005E20A0">
              <w:rPr>
                <w:i w:val="0"/>
                <w:iCs w:val="0"/>
                <w:noProof/>
                <w:webHidden/>
              </w:rPr>
              <w:t>54</w:t>
            </w:r>
            <w:r w:rsidRPr="00920662">
              <w:rPr>
                <w:i w:val="0"/>
                <w:iCs w:val="0"/>
                <w:noProof/>
                <w:webHidden/>
              </w:rPr>
              <w:fldChar w:fldCharType="end"/>
            </w:r>
          </w:hyperlink>
        </w:p>
        <w:p w14:paraId="29E9A34F" w14:textId="6651D486"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8" w:history="1">
            <w:r w:rsidRPr="00920662">
              <w:rPr>
                <w:rStyle w:val="Hyperlink"/>
                <w:noProof/>
              </w:rPr>
              <w:t>Handbooks</w:t>
            </w:r>
            <w:r w:rsidRPr="00920662">
              <w:rPr>
                <w:noProof/>
                <w:webHidden/>
              </w:rPr>
              <w:tab/>
            </w:r>
            <w:r w:rsidRPr="00920662">
              <w:rPr>
                <w:noProof/>
                <w:webHidden/>
              </w:rPr>
              <w:fldChar w:fldCharType="begin"/>
            </w:r>
            <w:r w:rsidRPr="00920662">
              <w:rPr>
                <w:noProof/>
                <w:webHidden/>
              </w:rPr>
              <w:instrText xml:space="preserve"> PAGEREF _Toc230376228 \h </w:instrText>
            </w:r>
            <w:r w:rsidRPr="00920662">
              <w:rPr>
                <w:noProof/>
                <w:webHidden/>
              </w:rPr>
            </w:r>
            <w:r w:rsidRPr="00920662">
              <w:rPr>
                <w:noProof/>
                <w:webHidden/>
              </w:rPr>
              <w:fldChar w:fldCharType="separate"/>
            </w:r>
            <w:r w:rsidR="005E20A0">
              <w:rPr>
                <w:noProof/>
                <w:webHidden/>
              </w:rPr>
              <w:t>54</w:t>
            </w:r>
            <w:r w:rsidRPr="00920662">
              <w:rPr>
                <w:noProof/>
                <w:webHidden/>
              </w:rPr>
              <w:fldChar w:fldCharType="end"/>
            </w:r>
          </w:hyperlink>
        </w:p>
        <w:p w14:paraId="032ADDF4" w14:textId="47BE0C80"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29" w:history="1">
            <w:r w:rsidRPr="00920662">
              <w:rPr>
                <w:rStyle w:val="Hyperlink"/>
                <w:noProof/>
              </w:rPr>
              <w:t>Contributions to anthologies</w:t>
            </w:r>
            <w:r w:rsidRPr="00920662">
              <w:rPr>
                <w:noProof/>
                <w:webHidden/>
              </w:rPr>
              <w:tab/>
            </w:r>
            <w:r w:rsidRPr="00920662">
              <w:rPr>
                <w:noProof/>
                <w:webHidden/>
              </w:rPr>
              <w:fldChar w:fldCharType="begin"/>
            </w:r>
            <w:r w:rsidRPr="00920662">
              <w:rPr>
                <w:noProof/>
                <w:webHidden/>
              </w:rPr>
              <w:instrText xml:space="preserve"> PAGEREF _Toc230376229 \h </w:instrText>
            </w:r>
            <w:r w:rsidRPr="00920662">
              <w:rPr>
                <w:noProof/>
                <w:webHidden/>
              </w:rPr>
            </w:r>
            <w:r w:rsidRPr="00920662">
              <w:rPr>
                <w:noProof/>
                <w:webHidden/>
              </w:rPr>
              <w:fldChar w:fldCharType="separate"/>
            </w:r>
            <w:r w:rsidR="005E20A0">
              <w:rPr>
                <w:noProof/>
                <w:webHidden/>
              </w:rPr>
              <w:t>56</w:t>
            </w:r>
            <w:r w:rsidRPr="00920662">
              <w:rPr>
                <w:noProof/>
                <w:webHidden/>
              </w:rPr>
              <w:fldChar w:fldCharType="end"/>
            </w:r>
          </w:hyperlink>
        </w:p>
        <w:p w14:paraId="1E917B5C" w14:textId="50DA4E6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30" w:history="1">
            <w:r w:rsidRPr="00920662">
              <w:rPr>
                <w:rStyle w:val="Hyperlink"/>
                <w:noProof/>
              </w:rPr>
              <w:t>Articles</w:t>
            </w:r>
            <w:r w:rsidRPr="00920662">
              <w:rPr>
                <w:noProof/>
                <w:webHidden/>
              </w:rPr>
              <w:tab/>
            </w:r>
            <w:r w:rsidRPr="00920662">
              <w:rPr>
                <w:noProof/>
                <w:webHidden/>
              </w:rPr>
              <w:fldChar w:fldCharType="begin"/>
            </w:r>
            <w:r w:rsidRPr="00920662">
              <w:rPr>
                <w:noProof/>
                <w:webHidden/>
              </w:rPr>
              <w:instrText xml:space="preserve"> PAGEREF _Toc230376230 \h </w:instrText>
            </w:r>
            <w:r w:rsidRPr="00920662">
              <w:rPr>
                <w:noProof/>
                <w:webHidden/>
              </w:rPr>
            </w:r>
            <w:r w:rsidRPr="00920662">
              <w:rPr>
                <w:noProof/>
                <w:webHidden/>
              </w:rPr>
              <w:fldChar w:fldCharType="separate"/>
            </w:r>
            <w:r w:rsidR="005E20A0">
              <w:rPr>
                <w:noProof/>
                <w:webHidden/>
              </w:rPr>
              <w:t>56</w:t>
            </w:r>
            <w:r w:rsidRPr="00920662">
              <w:rPr>
                <w:noProof/>
                <w:webHidden/>
              </w:rPr>
              <w:fldChar w:fldCharType="end"/>
            </w:r>
          </w:hyperlink>
        </w:p>
        <w:p w14:paraId="4E364839" w14:textId="26B9BCCE" w:rsidR="00890248" w:rsidRPr="00920662"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31" w:history="1">
            <w:r w:rsidRPr="00920662">
              <w:rPr>
                <w:rStyle w:val="Hyperlink"/>
                <w:noProof/>
              </w:rPr>
              <w:t>News Articles</w:t>
            </w:r>
            <w:r w:rsidRPr="00920662">
              <w:rPr>
                <w:noProof/>
                <w:webHidden/>
              </w:rPr>
              <w:tab/>
            </w:r>
            <w:r w:rsidRPr="00920662">
              <w:rPr>
                <w:noProof/>
                <w:webHidden/>
              </w:rPr>
              <w:fldChar w:fldCharType="begin"/>
            </w:r>
            <w:r w:rsidRPr="00920662">
              <w:rPr>
                <w:noProof/>
                <w:webHidden/>
              </w:rPr>
              <w:instrText xml:space="preserve"> PAGEREF _Toc230376231 \h </w:instrText>
            </w:r>
            <w:r w:rsidRPr="00920662">
              <w:rPr>
                <w:noProof/>
                <w:webHidden/>
              </w:rPr>
            </w:r>
            <w:r w:rsidRPr="00920662">
              <w:rPr>
                <w:noProof/>
                <w:webHidden/>
              </w:rPr>
              <w:fldChar w:fldCharType="separate"/>
            </w:r>
            <w:r w:rsidR="005E20A0">
              <w:rPr>
                <w:noProof/>
                <w:webHidden/>
              </w:rPr>
              <w:t>58</w:t>
            </w:r>
            <w:r w:rsidRPr="00920662">
              <w:rPr>
                <w:noProof/>
                <w:webHidden/>
              </w:rPr>
              <w:fldChar w:fldCharType="end"/>
            </w:r>
          </w:hyperlink>
        </w:p>
        <w:p w14:paraId="137D8E59" w14:textId="3F0B1FC9" w:rsidR="00890248" w:rsidRDefault="00890248" w:rsidP="00920662">
          <w:pPr>
            <w:pStyle w:val="Inhopg3"/>
            <w:tabs>
              <w:tab w:val="right" w:leader="dot" w:pos="9208"/>
            </w:tabs>
            <w:spacing w:line="360" w:lineRule="auto"/>
            <w:rPr>
              <w:rFonts w:eastAsiaTheme="minorEastAsia" w:cstheme="minorBidi"/>
              <w:noProof/>
              <w:kern w:val="2"/>
              <w:sz w:val="24"/>
              <w:szCs w:val="24"/>
              <w:lang w:val="nl-BE" w:eastAsia="nl-NL"/>
              <w14:ligatures w14:val="standardContextual"/>
            </w:rPr>
          </w:pPr>
          <w:hyperlink w:anchor="_Toc230376232" w:history="1">
            <w:r w:rsidRPr="00920662">
              <w:rPr>
                <w:rStyle w:val="Hyperlink"/>
                <w:noProof/>
                <w:lang w:val="nl-BE"/>
              </w:rPr>
              <w:t>Reports and Institutional Documents</w:t>
            </w:r>
            <w:r w:rsidRPr="00920662">
              <w:rPr>
                <w:noProof/>
                <w:webHidden/>
              </w:rPr>
              <w:tab/>
            </w:r>
            <w:r w:rsidRPr="00920662">
              <w:rPr>
                <w:noProof/>
                <w:webHidden/>
              </w:rPr>
              <w:fldChar w:fldCharType="begin"/>
            </w:r>
            <w:r w:rsidRPr="00920662">
              <w:rPr>
                <w:noProof/>
                <w:webHidden/>
              </w:rPr>
              <w:instrText xml:space="preserve"> PAGEREF _Toc230376232 \h </w:instrText>
            </w:r>
            <w:r w:rsidRPr="00920662">
              <w:rPr>
                <w:noProof/>
                <w:webHidden/>
              </w:rPr>
            </w:r>
            <w:r w:rsidRPr="00920662">
              <w:rPr>
                <w:noProof/>
                <w:webHidden/>
              </w:rPr>
              <w:fldChar w:fldCharType="separate"/>
            </w:r>
            <w:r w:rsidR="005E20A0">
              <w:rPr>
                <w:noProof/>
                <w:webHidden/>
              </w:rPr>
              <w:t>59</w:t>
            </w:r>
            <w:r w:rsidRPr="00920662">
              <w:rPr>
                <w:noProof/>
                <w:webHidden/>
              </w:rPr>
              <w:fldChar w:fldCharType="end"/>
            </w:r>
          </w:hyperlink>
        </w:p>
        <w:p w14:paraId="17A1CBBB" w14:textId="77777777" w:rsidR="00920662" w:rsidRDefault="00BE6030" w:rsidP="00920662">
          <w:pPr>
            <w:spacing w:line="360" w:lineRule="auto"/>
            <w:rPr>
              <w:b/>
              <w:bCs/>
              <w:noProof/>
              <w:sz w:val="36"/>
              <w:szCs w:val="36"/>
            </w:rPr>
          </w:pPr>
          <w:r w:rsidRPr="00D723FF">
            <w:rPr>
              <w:b/>
              <w:bCs/>
              <w:noProof/>
              <w:sz w:val="40"/>
              <w:szCs w:val="40"/>
            </w:rPr>
            <w:fldChar w:fldCharType="end"/>
          </w:r>
        </w:p>
      </w:sdtContent>
    </w:sdt>
    <w:p w14:paraId="1121289C" w14:textId="171D3779" w:rsidR="00866178" w:rsidRPr="00920662" w:rsidRDefault="00512DB7" w:rsidP="00920662">
      <w:pPr>
        <w:spacing w:line="360" w:lineRule="auto"/>
        <w:rPr>
          <w:b/>
          <w:bCs/>
          <w:noProof/>
          <w:sz w:val="36"/>
          <w:szCs w:val="36"/>
        </w:rPr>
      </w:pPr>
      <w:r w:rsidRPr="00D723FF">
        <w:rPr>
          <w:sz w:val="44"/>
          <w:szCs w:val="40"/>
          <w:lang w:val="en-US"/>
        </w:rPr>
        <w:lastRenderedPageBreak/>
        <w:t>Introduction</w:t>
      </w:r>
    </w:p>
    <w:p w14:paraId="2108D5F1" w14:textId="5F67CF9B" w:rsidR="00866178" w:rsidRPr="00D723FF" w:rsidRDefault="00512DB7" w:rsidP="00D723FF">
      <w:pPr>
        <w:pStyle w:val="Kop2"/>
        <w:numPr>
          <w:ilvl w:val="0"/>
          <w:numId w:val="5"/>
        </w:numPr>
        <w:spacing w:line="360" w:lineRule="auto"/>
        <w:rPr>
          <w:rFonts w:ascii="Times New Roman" w:hAnsi="Times New Roman" w:cs="Times New Roman"/>
          <w:lang w:val="en-US"/>
        </w:rPr>
      </w:pPr>
      <w:bookmarkStart w:id="1" w:name="_Toc230376178"/>
      <w:r w:rsidRPr="00D723FF">
        <w:rPr>
          <w:rFonts w:ascii="Times New Roman" w:hAnsi="Times New Roman" w:cs="Times New Roman"/>
          <w:lang w:val="en-US"/>
        </w:rPr>
        <w:t>Framework of the research</w:t>
      </w:r>
      <w:bookmarkEnd w:id="1"/>
    </w:p>
    <w:p w14:paraId="1CFD8F52" w14:textId="1D613DB4" w:rsidR="00BA319A" w:rsidRPr="00D723FF" w:rsidRDefault="00512DB7" w:rsidP="00D723FF">
      <w:pPr>
        <w:spacing w:line="360" w:lineRule="auto"/>
        <w:jc w:val="both"/>
        <w:rPr>
          <w:rFonts w:eastAsiaTheme="minorHAnsi"/>
          <w:lang w:val="en-US" w:eastAsia="en-US"/>
        </w:rPr>
      </w:pPr>
      <w:r w:rsidRPr="00D723FF">
        <w:rPr>
          <w:rFonts w:eastAsiaTheme="minorHAnsi"/>
          <w:lang w:val="en-US" w:eastAsia="en-US"/>
        </w:rPr>
        <w:t xml:space="preserve">As the most serious crime under </w:t>
      </w:r>
      <w:r w:rsidR="00F761CD" w:rsidRPr="00D723FF">
        <w:rPr>
          <w:rFonts w:eastAsiaTheme="minorHAnsi"/>
          <w:lang w:val="en-US" w:eastAsia="en-US"/>
        </w:rPr>
        <w:t>i</w:t>
      </w:r>
      <w:r w:rsidRPr="00D723FF">
        <w:rPr>
          <w:rFonts w:eastAsiaTheme="minorHAnsi"/>
          <w:lang w:val="en-US" w:eastAsia="en-US"/>
        </w:rPr>
        <w:t xml:space="preserve">nternational </w:t>
      </w:r>
      <w:r w:rsidR="0051695D" w:rsidRPr="00D723FF">
        <w:rPr>
          <w:rFonts w:eastAsiaTheme="minorHAnsi"/>
          <w:lang w:val="en-US" w:eastAsia="en-US"/>
        </w:rPr>
        <w:t>l</w:t>
      </w:r>
      <w:r w:rsidRPr="00D723FF">
        <w:rPr>
          <w:rFonts w:eastAsiaTheme="minorHAnsi"/>
          <w:lang w:val="en-US" w:eastAsia="en-US"/>
        </w:rPr>
        <w:t xml:space="preserve">aw, the prohibition of genocide </w:t>
      </w:r>
      <w:r w:rsidR="00F761CD" w:rsidRPr="00D723FF">
        <w:rPr>
          <w:rFonts w:eastAsiaTheme="minorHAnsi"/>
          <w:lang w:val="en-US" w:eastAsia="en-US"/>
        </w:rPr>
        <w:t xml:space="preserve">is </w:t>
      </w:r>
      <w:r w:rsidRPr="00D723FF">
        <w:rPr>
          <w:rFonts w:eastAsiaTheme="minorHAnsi"/>
          <w:lang w:val="en-US" w:eastAsia="en-US"/>
        </w:rPr>
        <w:t>a peremptory norm of international law (</w:t>
      </w:r>
      <w:r w:rsidRPr="00D723FF">
        <w:rPr>
          <w:rFonts w:eastAsiaTheme="minorHAnsi"/>
          <w:i/>
          <w:iCs/>
          <w:lang w:val="en-US" w:eastAsia="en-US"/>
        </w:rPr>
        <w:t>jus cogens</w:t>
      </w:r>
      <w:r w:rsidR="00F761CD" w:rsidRPr="00D723FF">
        <w:rPr>
          <w:rFonts w:eastAsiaTheme="minorHAnsi"/>
          <w:lang w:val="en-US" w:eastAsia="en-US"/>
        </w:rPr>
        <w:t xml:space="preserve">, see </w:t>
      </w:r>
      <w:proofErr w:type="gramStart"/>
      <w:r w:rsidR="00F761CD" w:rsidRPr="00D723FF">
        <w:rPr>
          <w:rFonts w:eastAsiaTheme="minorHAnsi"/>
          <w:i/>
          <w:iCs/>
          <w:lang w:val="en-US" w:eastAsia="en-US"/>
        </w:rPr>
        <w:t xml:space="preserve">infra </w:t>
      </w:r>
      <w:r w:rsidR="00F761CD" w:rsidRPr="00D723FF">
        <w:rPr>
          <w:rFonts w:eastAsiaTheme="minorHAnsi"/>
          <w:lang w:val="en-US" w:eastAsia="en-US"/>
        </w:rPr>
        <w:t>Chapter</w:t>
      </w:r>
      <w:proofErr w:type="gramEnd"/>
      <w:r w:rsidR="007E5E18" w:rsidRPr="00D723FF">
        <w:rPr>
          <w:rFonts w:eastAsiaTheme="minorHAnsi"/>
          <w:lang w:val="en-US" w:eastAsia="en-US"/>
        </w:rPr>
        <w:t xml:space="preserve"> 1.3.</w:t>
      </w:r>
      <w:r w:rsidRPr="00D723FF">
        <w:rPr>
          <w:rFonts w:eastAsiaTheme="minorHAnsi"/>
          <w:lang w:val="en-US" w:eastAsia="en-US"/>
        </w:rPr>
        <w:t>).</w:t>
      </w:r>
      <w:r w:rsidRPr="00D723FF">
        <w:rPr>
          <w:rStyle w:val="Voetnootmarkering"/>
          <w:lang w:val="en-US"/>
        </w:rPr>
        <w:footnoteReference w:id="1"/>
      </w:r>
      <w:r w:rsidRPr="00D723FF">
        <w:rPr>
          <w:rStyle w:val="Voetnootmarkering"/>
          <w:lang w:val="en-US"/>
        </w:rPr>
        <w:t xml:space="preserve"> </w:t>
      </w:r>
      <w:r w:rsidRPr="00D723FF">
        <w:rPr>
          <w:rFonts w:eastAsiaTheme="minorHAnsi"/>
          <w:lang w:val="en-US" w:eastAsia="en-US"/>
        </w:rPr>
        <w:t xml:space="preserve">It entails specific obligations of prevention and punishment. While </w:t>
      </w:r>
      <w:r w:rsidR="00BA4FC0" w:rsidRPr="00D723FF">
        <w:rPr>
          <w:rFonts w:eastAsiaTheme="minorHAnsi"/>
          <w:lang w:val="en-US" w:eastAsia="en-US"/>
        </w:rPr>
        <w:t xml:space="preserve">its </w:t>
      </w:r>
      <w:r w:rsidRPr="00D723FF">
        <w:rPr>
          <w:rFonts w:eastAsiaTheme="minorHAnsi"/>
          <w:lang w:val="en-US" w:eastAsia="en-US"/>
        </w:rPr>
        <w:t xml:space="preserve">legal definition has remained largely stable since the adoption of the Genocide Convention in 1948, the contexts in which mass violence occurs have evolved. Contemporary conflicts increasingly involve indirect and structural forms of harm, including the destruction of the natural environment. Determining the boundaries of genocidal conduct is therefore not merely a theoretical </w:t>
      </w:r>
      <w:proofErr w:type="gramStart"/>
      <w:r w:rsidRPr="00D723FF">
        <w:rPr>
          <w:rFonts w:eastAsiaTheme="minorHAnsi"/>
          <w:lang w:val="en-US" w:eastAsia="en-US"/>
        </w:rPr>
        <w:t>exercise, but</w:t>
      </w:r>
      <w:proofErr w:type="gramEnd"/>
      <w:r w:rsidRPr="00D723FF">
        <w:rPr>
          <w:rFonts w:eastAsiaTheme="minorHAnsi"/>
          <w:lang w:val="en-US" w:eastAsia="en-US"/>
        </w:rPr>
        <w:t xml:space="preserve"> requires an assessment of how these boundaries are interpreted and applied in practice.</w:t>
      </w:r>
      <w:r w:rsidR="002F5700" w:rsidRPr="00D723FF">
        <w:rPr>
          <w:rFonts w:eastAsiaTheme="minorHAnsi"/>
          <w:lang w:val="en-US" w:eastAsia="en-US"/>
        </w:rPr>
        <w:tab/>
      </w:r>
      <w:r w:rsidR="002F5700" w:rsidRPr="00D723FF">
        <w:rPr>
          <w:rFonts w:eastAsiaTheme="minorHAnsi"/>
          <w:lang w:val="en-US" w:eastAsia="en-US"/>
        </w:rPr>
        <w:br/>
      </w:r>
    </w:p>
    <w:p w14:paraId="75397242" w14:textId="40A7324F" w:rsidR="00C20FFB" w:rsidRPr="00D723FF" w:rsidRDefault="00BA319A" w:rsidP="00D723FF">
      <w:pPr>
        <w:spacing w:line="360" w:lineRule="auto"/>
        <w:jc w:val="both"/>
        <w:rPr>
          <w:lang w:val="en-US"/>
        </w:rPr>
      </w:pPr>
      <w:r w:rsidRPr="00D723FF">
        <w:rPr>
          <w:rFonts w:eastAsiaTheme="minorHAnsi"/>
          <w:lang w:val="en-US" w:eastAsia="en-US"/>
        </w:rPr>
        <w:t>Recent assessments, including those of the United Nations in the Gaza</w:t>
      </w:r>
      <w:r w:rsidR="002B2746" w:rsidRPr="00D723FF">
        <w:rPr>
          <w:rFonts w:eastAsiaTheme="minorHAnsi"/>
          <w:lang w:val="en-US" w:eastAsia="en-US"/>
        </w:rPr>
        <w:t xml:space="preserve"> S</w:t>
      </w:r>
      <w:r w:rsidRPr="00D723FF">
        <w:rPr>
          <w:rFonts w:eastAsiaTheme="minorHAnsi"/>
          <w:lang w:val="en-US" w:eastAsia="en-US"/>
        </w:rPr>
        <w:t>trip</w:t>
      </w:r>
      <w:r w:rsidRPr="00D723FF">
        <w:rPr>
          <w:rStyle w:val="Voetnootmarkering"/>
          <w:lang w:val="en-US"/>
        </w:rPr>
        <w:footnoteReference w:id="2"/>
      </w:r>
      <w:r w:rsidRPr="00D723FF">
        <w:rPr>
          <w:rFonts w:eastAsiaTheme="minorHAnsi"/>
          <w:lang w:val="en-US" w:eastAsia="en-US"/>
        </w:rPr>
        <w:t xml:space="preserve">, have </w:t>
      </w:r>
      <w:proofErr w:type="spellStart"/>
      <w:r w:rsidRPr="00D723FF">
        <w:rPr>
          <w:rFonts w:eastAsiaTheme="minorHAnsi"/>
          <w:lang w:val="en-US" w:eastAsia="en-US"/>
        </w:rPr>
        <w:t>characterised</w:t>
      </w:r>
      <w:proofErr w:type="spellEnd"/>
      <w:r w:rsidRPr="00D723FF">
        <w:rPr>
          <w:rFonts w:eastAsiaTheme="minorHAnsi"/>
          <w:lang w:val="en-US" w:eastAsia="en-US"/>
        </w:rPr>
        <w:t xml:space="preserve"> the environmental impact of such conflicts as unprecedented. The destruction of ecosystems, pollution, and degradation of natural resources may undermine livelihoods for decades and erode the conditions necessary for the survival of civilian populations. These developments raise the question whether existing legal categories adequately capture the gravity of such conduct.</w:t>
      </w:r>
      <w:r w:rsidR="002F5700" w:rsidRPr="00D723FF">
        <w:rPr>
          <w:rFonts w:eastAsiaTheme="minorHAnsi"/>
          <w:lang w:val="en-US" w:eastAsia="en-US"/>
        </w:rPr>
        <w:br/>
      </w:r>
      <w:r w:rsidRPr="00D723FF">
        <w:rPr>
          <w:lang w:val="en-US"/>
        </w:rPr>
        <w:t xml:space="preserve"> </w:t>
      </w:r>
    </w:p>
    <w:p w14:paraId="7516CCF0" w14:textId="6AED4E0C" w:rsidR="00C20FFB" w:rsidRPr="00D723FF" w:rsidRDefault="00E835B6" w:rsidP="00D723FF">
      <w:pPr>
        <w:pStyle w:val="Normaalweb"/>
        <w:spacing w:line="360" w:lineRule="auto"/>
        <w:jc w:val="both"/>
        <w:rPr>
          <w:rFonts w:eastAsia="Times New Roman" w:cs="Times New Roman"/>
          <w:szCs w:val="24"/>
          <w:lang w:eastAsia="nl-NL"/>
        </w:rPr>
      </w:pPr>
      <w:r w:rsidRPr="00D723FF">
        <w:rPr>
          <w:rFonts w:cs="Times New Roman"/>
          <w:lang w:val="en-US"/>
        </w:rPr>
        <w:t>A</w:t>
      </w:r>
      <w:r w:rsidRPr="00D723FF">
        <w:rPr>
          <w:rFonts w:cs="Times New Roman"/>
          <w:lang w:val="en-US"/>
        </w:rPr>
        <w:t>lthough international law does not provide a single uniform definition for the notion of ‘environmental destruction’</w:t>
      </w:r>
      <w:r w:rsidR="000B6E0C" w:rsidRPr="00D723FF">
        <w:rPr>
          <w:rFonts w:cs="Times New Roman"/>
          <w:lang w:val="en-US"/>
        </w:rPr>
        <w:t xml:space="preserve">, several international instruments </w:t>
      </w:r>
      <w:proofErr w:type="spellStart"/>
      <w:r w:rsidR="000B6E0C" w:rsidRPr="00D723FF">
        <w:rPr>
          <w:rFonts w:cs="Times New Roman"/>
          <w:lang w:val="en-US"/>
        </w:rPr>
        <w:t>recognise</w:t>
      </w:r>
      <w:proofErr w:type="spellEnd"/>
      <w:r w:rsidR="000B6E0C" w:rsidRPr="00D723FF">
        <w:rPr>
          <w:rFonts w:cs="Times New Roman"/>
          <w:lang w:val="en-US"/>
        </w:rPr>
        <w:t xml:space="preserve"> the protection of the natural environment. </w:t>
      </w:r>
      <w:r w:rsidR="00334C09" w:rsidRPr="00D723FF">
        <w:rPr>
          <w:rFonts w:cs="Times New Roman"/>
          <w:lang w:val="en-US"/>
        </w:rPr>
        <w:t xml:space="preserve">The </w:t>
      </w:r>
      <w:r w:rsidR="000B6E0C" w:rsidRPr="00D723FF">
        <w:rPr>
          <w:rFonts w:cs="Times New Roman"/>
          <w:i/>
          <w:iCs/>
          <w:lang w:val="en-US"/>
        </w:rPr>
        <w:t xml:space="preserve">Additional Protocol I to the Geneva Conventions </w:t>
      </w:r>
      <w:r w:rsidR="00F761CD" w:rsidRPr="00D723FF">
        <w:rPr>
          <w:rFonts w:cs="Times New Roman"/>
          <w:lang w:val="en-US"/>
        </w:rPr>
        <w:t>(</w:t>
      </w:r>
      <w:r w:rsidR="0051695D" w:rsidRPr="00D723FF">
        <w:rPr>
          <w:rFonts w:cs="Times New Roman"/>
          <w:lang w:val="en-US"/>
        </w:rPr>
        <w:t xml:space="preserve">hereafter: </w:t>
      </w:r>
      <w:r w:rsidR="00F761CD" w:rsidRPr="00D723FF">
        <w:rPr>
          <w:rFonts w:cs="Times New Roman"/>
          <w:lang w:val="en-US"/>
        </w:rPr>
        <w:t>‘</w:t>
      </w:r>
      <w:r w:rsidR="00F761CD" w:rsidRPr="00D723FF">
        <w:rPr>
          <w:rFonts w:cs="Times New Roman"/>
          <w:i/>
          <w:iCs/>
          <w:lang w:val="en-US"/>
        </w:rPr>
        <w:t xml:space="preserve"> Additional Protocol </w:t>
      </w:r>
      <w:r w:rsidR="00F761CD" w:rsidRPr="00D723FF">
        <w:rPr>
          <w:rFonts w:cs="Times New Roman"/>
          <w:lang w:val="en-US"/>
        </w:rPr>
        <w:t xml:space="preserve">I’) </w:t>
      </w:r>
      <w:r w:rsidR="000B6E0C" w:rsidRPr="00D723FF">
        <w:rPr>
          <w:rFonts w:cs="Times New Roman"/>
          <w:lang w:val="en-US"/>
        </w:rPr>
        <w:t xml:space="preserve">prohibits methods or means of warfare expected to cause ‘widespread, long-term and severe damage to the natural environment’, while the </w:t>
      </w:r>
      <w:r w:rsidR="000B6E0C" w:rsidRPr="00D723FF">
        <w:rPr>
          <w:rFonts w:cs="Times New Roman"/>
          <w:i/>
          <w:iCs/>
          <w:lang w:val="en-US"/>
        </w:rPr>
        <w:t>Convention on the Prohibition of Military or Any Other Hostile Use of Environmental Modification Techniques</w:t>
      </w:r>
      <w:r w:rsidR="000B6E0C" w:rsidRPr="00D723FF">
        <w:rPr>
          <w:rFonts w:cs="Times New Roman"/>
          <w:lang w:val="en-US"/>
        </w:rPr>
        <w:t xml:space="preserve"> (</w:t>
      </w:r>
      <w:r w:rsidRPr="00D723FF">
        <w:rPr>
          <w:rFonts w:cs="Times New Roman"/>
          <w:lang w:val="en-US"/>
        </w:rPr>
        <w:t xml:space="preserve">hereafter: </w:t>
      </w:r>
      <w:r w:rsidR="000B6E0C" w:rsidRPr="00D723FF">
        <w:rPr>
          <w:rFonts w:cs="Times New Roman"/>
          <w:lang w:val="en-US"/>
        </w:rPr>
        <w:t>‘</w:t>
      </w:r>
      <w:r w:rsidR="000B6E0C" w:rsidRPr="00D723FF">
        <w:rPr>
          <w:rFonts w:cs="Times New Roman"/>
          <w:i/>
          <w:iCs/>
          <w:lang w:val="en-US"/>
        </w:rPr>
        <w:t>ENMOD Convention</w:t>
      </w:r>
      <w:r w:rsidR="000B6E0C" w:rsidRPr="00D723FF">
        <w:rPr>
          <w:rFonts w:cs="Times New Roman"/>
          <w:lang w:val="en-US"/>
        </w:rPr>
        <w:t xml:space="preserve">’) prohibits the hostile use of environmental modification </w:t>
      </w:r>
      <w:r w:rsidR="000B6E0C" w:rsidRPr="00D723FF">
        <w:rPr>
          <w:rFonts w:cs="Times New Roman"/>
          <w:lang w:val="en-US"/>
        </w:rPr>
        <w:lastRenderedPageBreak/>
        <w:t>techniques.</w:t>
      </w:r>
      <w:r w:rsidR="000B6E0C" w:rsidRPr="00D723FF">
        <w:rPr>
          <w:rStyle w:val="Voetnootmarkering"/>
          <w:rFonts w:cs="Times New Roman"/>
          <w:lang w:val="en-US"/>
        </w:rPr>
        <w:footnoteReference w:id="3"/>
      </w:r>
      <w:r w:rsidR="000B6E0C" w:rsidRPr="00D723FF">
        <w:rPr>
          <w:rFonts w:cs="Times New Roman"/>
          <w:lang w:val="en-US"/>
        </w:rPr>
        <w:t xml:space="preserve"> </w:t>
      </w:r>
      <w:r w:rsidR="00334C09" w:rsidRPr="00D723FF">
        <w:rPr>
          <w:rFonts w:eastAsia="Times New Roman" w:cs="Times New Roman"/>
          <w:szCs w:val="24"/>
          <w:lang w:eastAsia="nl-NL"/>
        </w:rPr>
        <w:t>These instruments primarily regulate environmental harm in situations of armed conflict, whereas genocide may be committed in wartime and peacetime.</w:t>
      </w:r>
      <w:r w:rsidR="00334C09" w:rsidRPr="00D723FF">
        <w:rPr>
          <w:rStyle w:val="Voetnootmarkering"/>
          <w:rFonts w:cs="Times New Roman"/>
          <w:lang w:val="en-US"/>
        </w:rPr>
        <w:t xml:space="preserve"> </w:t>
      </w:r>
      <w:r w:rsidR="00334C09" w:rsidRPr="00D723FF">
        <w:rPr>
          <w:rStyle w:val="Voetnootmarkering"/>
          <w:rFonts w:cs="Times New Roman"/>
          <w:lang w:val="en-US"/>
        </w:rPr>
        <w:footnoteReference w:id="4"/>
      </w:r>
      <w:r w:rsidR="00334C09" w:rsidRPr="00D723FF">
        <w:rPr>
          <w:rFonts w:eastAsia="Times New Roman" w:cs="Times New Roman"/>
          <w:szCs w:val="24"/>
          <w:lang w:eastAsia="nl-NL"/>
        </w:rPr>
        <w:t xml:space="preserve"> </w:t>
      </w:r>
      <w:r w:rsidRPr="00D723FF">
        <w:rPr>
          <w:rFonts w:eastAsia="Times New Roman" w:cs="Times New Roman"/>
          <w:szCs w:val="24"/>
          <w:lang w:eastAsia="nl-NL"/>
        </w:rPr>
        <w:t>Both frameworks</w:t>
      </w:r>
      <w:r w:rsidR="00334C09" w:rsidRPr="00D723FF">
        <w:rPr>
          <w:rFonts w:eastAsia="Times New Roman" w:cs="Times New Roman"/>
          <w:szCs w:val="24"/>
          <w:lang w:eastAsia="nl-NL"/>
        </w:rPr>
        <w:t xml:space="preserve"> nevertheless remain relevant to the present research because they provide an important legal framework for understanding the concept of </w:t>
      </w:r>
      <w:r w:rsidR="00157DE1" w:rsidRPr="00D723FF">
        <w:rPr>
          <w:rFonts w:eastAsia="Times New Roman" w:cs="Times New Roman"/>
          <w:szCs w:val="24"/>
          <w:lang w:eastAsia="nl-NL"/>
        </w:rPr>
        <w:t>‘</w:t>
      </w:r>
      <w:r w:rsidR="00334C09" w:rsidRPr="00D723FF">
        <w:rPr>
          <w:rFonts w:eastAsia="Times New Roman" w:cs="Times New Roman"/>
          <w:szCs w:val="24"/>
          <w:lang w:eastAsia="nl-NL"/>
        </w:rPr>
        <w:t>environmental destruction</w:t>
      </w:r>
      <w:r w:rsidR="00157DE1" w:rsidRPr="00D723FF">
        <w:rPr>
          <w:rFonts w:eastAsia="Times New Roman" w:cs="Times New Roman"/>
          <w:szCs w:val="24"/>
          <w:lang w:eastAsia="nl-NL"/>
        </w:rPr>
        <w:t>’</w:t>
      </w:r>
      <w:r w:rsidR="00334C09" w:rsidRPr="00D723FF">
        <w:rPr>
          <w:rFonts w:eastAsia="Times New Roman" w:cs="Times New Roman"/>
          <w:szCs w:val="24"/>
          <w:lang w:eastAsia="nl-NL"/>
        </w:rPr>
        <w:t xml:space="preserve"> under international law</w:t>
      </w:r>
      <w:r w:rsidR="000B6E0C" w:rsidRPr="00D723FF">
        <w:rPr>
          <w:rFonts w:cs="Times New Roman"/>
          <w:lang w:val="en-US"/>
        </w:rPr>
        <w:t xml:space="preserve">. </w:t>
      </w:r>
      <w:r w:rsidR="00740078" w:rsidRPr="00D723FF">
        <w:rPr>
          <w:rFonts w:cs="Times New Roman"/>
        </w:rPr>
        <w:t xml:space="preserve">This concept will be examined further </w:t>
      </w:r>
      <w:r w:rsidR="00F761CD" w:rsidRPr="00D723FF">
        <w:rPr>
          <w:rFonts w:cs="Times New Roman"/>
        </w:rPr>
        <w:t>in</w:t>
      </w:r>
      <w:r w:rsidR="00740078" w:rsidRPr="00D723FF">
        <w:rPr>
          <w:rFonts w:cs="Times New Roman"/>
        </w:rPr>
        <w:t xml:space="preserve"> Chapter 2.</w:t>
      </w:r>
      <w:r w:rsidR="005A5FBF" w:rsidRPr="00D723FF">
        <w:rPr>
          <w:rFonts w:cs="Times New Roman"/>
        </w:rPr>
        <w:tab/>
      </w:r>
      <w:r w:rsidR="002F5700" w:rsidRPr="00D723FF">
        <w:rPr>
          <w:rFonts w:cs="Times New Roman"/>
        </w:rPr>
        <w:br/>
      </w:r>
    </w:p>
    <w:p w14:paraId="6E20BE09" w14:textId="44D85590" w:rsidR="00BA319A" w:rsidRPr="00D723FF" w:rsidRDefault="00BA319A" w:rsidP="00D723FF">
      <w:pPr>
        <w:spacing w:line="360" w:lineRule="auto"/>
        <w:jc w:val="both"/>
        <w:rPr>
          <w:rFonts w:eastAsiaTheme="minorHAnsi"/>
          <w:lang w:val="en-US" w:eastAsia="en-US"/>
        </w:rPr>
      </w:pPr>
      <w:r w:rsidRPr="00D723FF">
        <w:rPr>
          <w:rFonts w:eastAsiaTheme="minorHAnsi"/>
          <w:lang w:val="en-US" w:eastAsia="en-US"/>
        </w:rPr>
        <w:t xml:space="preserve">This gives rise to a central legal problem. Article II(c) of the Genocide Convention </w:t>
      </w:r>
      <w:proofErr w:type="spellStart"/>
      <w:r w:rsidRPr="00D723FF">
        <w:rPr>
          <w:rFonts w:eastAsiaTheme="minorHAnsi"/>
          <w:lang w:val="en-US" w:eastAsia="en-US"/>
        </w:rPr>
        <w:t>criminalises</w:t>
      </w:r>
      <w:proofErr w:type="spellEnd"/>
      <w:r w:rsidRPr="00D723FF">
        <w:rPr>
          <w:rFonts w:eastAsiaTheme="minorHAnsi"/>
          <w:lang w:val="en-US" w:eastAsia="en-US"/>
        </w:rPr>
        <w:t xml:space="preserve"> the infliction of “conditions of life calculated to bring about the physical destruction of a group”</w:t>
      </w:r>
      <w:r w:rsidR="002F5700" w:rsidRPr="00D723FF">
        <w:rPr>
          <w:rFonts w:eastAsiaTheme="minorHAnsi"/>
          <w:lang w:val="en-US" w:eastAsia="en-US"/>
        </w:rPr>
        <w:t>.</w:t>
      </w:r>
      <w:r w:rsidRPr="00D723FF">
        <w:rPr>
          <w:rFonts w:eastAsiaTheme="minorHAnsi"/>
          <w:lang w:val="en-US" w:eastAsia="en-US"/>
        </w:rPr>
        <w:t xml:space="preserve"> However, the provision does not define what constitutes “conditions of life” nor does it clarify the threshold at which such conditions amount to “physical destruction”</w:t>
      </w:r>
      <w:r w:rsidR="009910C8" w:rsidRPr="00D723FF">
        <w:rPr>
          <w:rFonts w:eastAsiaTheme="minorHAnsi"/>
          <w:lang w:val="en-US" w:eastAsia="en-US"/>
        </w:rPr>
        <w:t>.</w:t>
      </w:r>
      <w:r w:rsidRPr="00D723FF">
        <w:rPr>
          <w:rFonts w:eastAsiaTheme="minorHAnsi"/>
          <w:lang w:val="en-US" w:eastAsia="en-US"/>
        </w:rPr>
        <w:t xml:space="preserve"> This creates uncertainty, particularly where environmental destruction is used as a method of warfare.</w:t>
      </w:r>
      <w:r w:rsidR="002F5700" w:rsidRPr="00D723FF">
        <w:rPr>
          <w:rFonts w:eastAsiaTheme="minorHAnsi"/>
          <w:lang w:val="en-US" w:eastAsia="en-US"/>
        </w:rPr>
        <w:br/>
      </w:r>
    </w:p>
    <w:p w14:paraId="7233C86B" w14:textId="0DCE77D8" w:rsidR="00BA319A" w:rsidRPr="00D723FF" w:rsidRDefault="00BA319A" w:rsidP="00D723FF">
      <w:pPr>
        <w:spacing w:line="360" w:lineRule="auto"/>
        <w:jc w:val="both"/>
        <w:rPr>
          <w:rFonts w:eastAsiaTheme="minorHAnsi"/>
          <w:lang w:val="en-US" w:eastAsia="en-US"/>
        </w:rPr>
      </w:pPr>
      <w:r w:rsidRPr="00D723FF">
        <w:rPr>
          <w:rFonts w:eastAsiaTheme="minorHAnsi"/>
          <w:lang w:val="en-US" w:eastAsia="en-US"/>
        </w:rPr>
        <w:t>The issue is further complicated by the strict requirements of genocide. The crime is limited to acts directed against protected groups and requires a specific intent (</w:t>
      </w:r>
      <w:r w:rsidRPr="00D723FF">
        <w:rPr>
          <w:rFonts w:eastAsiaTheme="minorHAnsi"/>
          <w:i/>
          <w:iCs/>
          <w:lang w:val="en-US" w:eastAsia="en-US"/>
        </w:rPr>
        <w:t xml:space="preserve">dolus </w:t>
      </w:r>
      <w:proofErr w:type="spellStart"/>
      <w:r w:rsidRPr="00D723FF">
        <w:rPr>
          <w:rFonts w:eastAsiaTheme="minorHAnsi"/>
          <w:i/>
          <w:iCs/>
          <w:lang w:val="en-US" w:eastAsia="en-US"/>
        </w:rPr>
        <w:t>specialis</w:t>
      </w:r>
      <w:proofErr w:type="spellEnd"/>
      <w:r w:rsidRPr="00D723FF">
        <w:rPr>
          <w:rFonts w:eastAsiaTheme="minorHAnsi"/>
          <w:lang w:val="en-US" w:eastAsia="en-US"/>
        </w:rPr>
        <w:t>) to destroy the group as such.</w:t>
      </w:r>
      <w:r w:rsidR="009910C8" w:rsidRPr="00D723FF">
        <w:rPr>
          <w:rStyle w:val="Voetnootmarkering"/>
          <w:rFonts w:eastAsiaTheme="minorHAnsi"/>
          <w:lang w:val="en-US" w:eastAsia="en-US"/>
        </w:rPr>
        <w:footnoteReference w:id="5"/>
      </w:r>
      <w:r w:rsidRPr="00D723FF">
        <w:rPr>
          <w:rFonts w:eastAsiaTheme="minorHAnsi"/>
          <w:lang w:val="en-US" w:eastAsia="en-US"/>
        </w:rPr>
        <w:t xml:space="preserve"> </w:t>
      </w:r>
      <w:r w:rsidR="002F5700" w:rsidRPr="00D723FF">
        <w:rPr>
          <w:rFonts w:eastAsiaTheme="minorHAnsi"/>
          <w:lang w:val="en-US" w:eastAsia="en-US"/>
        </w:rPr>
        <w:t>A</w:t>
      </w:r>
      <w:r w:rsidR="002F5700" w:rsidRPr="00D723FF">
        <w:rPr>
          <w:rFonts w:eastAsiaTheme="minorHAnsi"/>
          <w:lang w:val="en-US" w:eastAsia="en-US"/>
        </w:rPr>
        <w:t>lthough these strict parameters guarantee legal certainty, they potentially create a protection gap for environmental or indirect mechanisms of destruction.</w:t>
      </w:r>
      <w:r w:rsidR="002F5700" w:rsidRPr="00D723FF">
        <w:rPr>
          <w:rFonts w:eastAsiaTheme="minorHAnsi"/>
          <w:lang w:val="en-US" w:eastAsia="en-US"/>
        </w:rPr>
        <w:br/>
      </w:r>
    </w:p>
    <w:p w14:paraId="5D81E2D8" w14:textId="4DC10409" w:rsidR="00BA319A" w:rsidRPr="00D723FF" w:rsidRDefault="00BA319A" w:rsidP="00D723FF">
      <w:pPr>
        <w:spacing w:line="360" w:lineRule="auto"/>
        <w:jc w:val="both"/>
        <w:rPr>
          <w:rFonts w:eastAsiaTheme="minorHAnsi"/>
          <w:lang w:val="en-US" w:eastAsia="en-US"/>
        </w:rPr>
      </w:pPr>
      <w:r w:rsidRPr="00D723FF">
        <w:rPr>
          <w:rFonts w:eastAsiaTheme="minorHAnsi"/>
          <w:lang w:val="en-US" w:eastAsia="en-US"/>
        </w:rPr>
        <w:t xml:space="preserve">At the same time, the qualification of conduct as genocide carries significant legal consequences. As a </w:t>
      </w:r>
      <w:r w:rsidRPr="00D723FF">
        <w:rPr>
          <w:rFonts w:eastAsiaTheme="minorHAnsi"/>
          <w:i/>
          <w:iCs/>
          <w:lang w:val="en-US" w:eastAsia="en-US"/>
        </w:rPr>
        <w:t>jus cogens</w:t>
      </w:r>
      <w:r w:rsidRPr="00D723FF">
        <w:rPr>
          <w:rFonts w:eastAsiaTheme="minorHAnsi"/>
          <w:lang w:val="en-US" w:eastAsia="en-US"/>
        </w:rPr>
        <w:t xml:space="preserve"> norm, genocide gives rise to obligations </w:t>
      </w:r>
      <w:proofErr w:type="spellStart"/>
      <w:r w:rsidRPr="00D723FF">
        <w:rPr>
          <w:rFonts w:eastAsiaTheme="minorHAnsi"/>
          <w:i/>
          <w:iCs/>
          <w:lang w:val="en-US" w:eastAsia="en-US"/>
        </w:rPr>
        <w:t>erga</w:t>
      </w:r>
      <w:proofErr w:type="spellEnd"/>
      <w:r w:rsidRPr="00D723FF">
        <w:rPr>
          <w:rFonts w:eastAsiaTheme="minorHAnsi"/>
          <w:i/>
          <w:iCs/>
          <w:lang w:val="en-US" w:eastAsia="en-US"/>
        </w:rPr>
        <w:t xml:space="preserve"> omnes</w:t>
      </w:r>
      <w:r w:rsidRPr="00D723FF">
        <w:rPr>
          <w:rFonts w:eastAsiaTheme="minorHAnsi"/>
          <w:lang w:val="en-US" w:eastAsia="en-US"/>
        </w:rPr>
        <w:t xml:space="preserve"> </w:t>
      </w:r>
      <w:r w:rsidR="009910C8" w:rsidRPr="00D723FF">
        <w:rPr>
          <w:rFonts w:eastAsiaTheme="minorHAnsi"/>
          <w:lang w:val="en-US" w:eastAsia="en-US"/>
        </w:rPr>
        <w:t>(</w:t>
      </w:r>
      <w:r w:rsidR="00CE2926" w:rsidRPr="00D723FF">
        <w:rPr>
          <w:rFonts w:eastAsiaTheme="minorHAnsi"/>
          <w:lang w:val="en-US" w:eastAsia="en-US"/>
        </w:rPr>
        <w:t xml:space="preserve">see </w:t>
      </w:r>
      <w:r w:rsidR="009910C8" w:rsidRPr="00D723FF">
        <w:rPr>
          <w:rFonts w:eastAsiaTheme="minorHAnsi"/>
          <w:i/>
          <w:iCs/>
          <w:lang w:val="en-US" w:eastAsia="en-US"/>
        </w:rPr>
        <w:t>infra.</w:t>
      </w:r>
      <w:r w:rsidR="005A5FBF" w:rsidRPr="00D723FF">
        <w:rPr>
          <w:rFonts w:eastAsiaTheme="minorHAnsi"/>
          <w:i/>
          <w:iCs/>
          <w:lang w:val="en-US" w:eastAsia="en-US"/>
        </w:rPr>
        <w:t xml:space="preserve"> </w:t>
      </w:r>
      <w:proofErr w:type="gramStart"/>
      <w:r w:rsidR="00CE2926" w:rsidRPr="00D723FF">
        <w:rPr>
          <w:rFonts w:eastAsiaTheme="minorHAnsi"/>
          <w:lang w:val="en-US" w:eastAsia="en-US"/>
        </w:rPr>
        <w:t>Chapter</w:t>
      </w:r>
      <w:proofErr w:type="gramEnd"/>
      <w:r w:rsidR="00CE2926" w:rsidRPr="00D723FF">
        <w:rPr>
          <w:rFonts w:eastAsiaTheme="minorHAnsi"/>
          <w:lang w:val="en-US" w:eastAsia="en-US"/>
        </w:rPr>
        <w:t xml:space="preserve"> 1.3.</w:t>
      </w:r>
      <w:r w:rsidR="009910C8" w:rsidRPr="00D723FF">
        <w:rPr>
          <w:rFonts w:eastAsiaTheme="minorHAnsi"/>
          <w:lang w:val="en-US" w:eastAsia="en-US"/>
        </w:rPr>
        <w:t xml:space="preserve">) </w:t>
      </w:r>
      <w:r w:rsidRPr="00D723FF">
        <w:rPr>
          <w:rFonts w:eastAsiaTheme="minorHAnsi"/>
          <w:lang w:val="en-US" w:eastAsia="en-US"/>
        </w:rPr>
        <w:t>and triggers duties of prevention and punishment for all states.</w:t>
      </w:r>
      <w:r w:rsidR="009910C8" w:rsidRPr="00D723FF">
        <w:rPr>
          <w:rStyle w:val="Voetnootmarkering"/>
          <w:rFonts w:eastAsiaTheme="minorHAnsi"/>
          <w:lang w:val="en-US" w:eastAsia="en-US"/>
        </w:rPr>
        <w:footnoteReference w:id="6"/>
      </w:r>
      <w:r w:rsidRPr="00D723FF">
        <w:rPr>
          <w:rFonts w:eastAsiaTheme="minorHAnsi"/>
          <w:lang w:val="en-US" w:eastAsia="en-US"/>
        </w:rPr>
        <w:t xml:space="preserve"> The classification of environmentally mediated harm as genocide would therefore have far-reaching implications for</w:t>
      </w:r>
      <w:r w:rsidR="005A5FBF" w:rsidRPr="00D723FF">
        <w:rPr>
          <w:rFonts w:eastAsiaTheme="minorHAnsi"/>
          <w:lang w:val="en-US" w:eastAsia="en-US"/>
        </w:rPr>
        <w:t xml:space="preserve"> </w:t>
      </w:r>
      <w:r w:rsidRPr="00D723FF">
        <w:rPr>
          <w:rFonts w:eastAsiaTheme="minorHAnsi"/>
          <w:lang w:val="en-US" w:eastAsia="en-US"/>
        </w:rPr>
        <w:t>state responsibility and individual criminal liability.</w:t>
      </w:r>
    </w:p>
    <w:p w14:paraId="52E7C9C4" w14:textId="1A10ADE9" w:rsidR="00BA319A" w:rsidRPr="007B02D1" w:rsidRDefault="00A540A4" w:rsidP="00D723FF">
      <w:pPr>
        <w:spacing w:line="360" w:lineRule="auto"/>
        <w:jc w:val="both"/>
        <w:rPr>
          <w:rFonts w:eastAsiaTheme="minorHAnsi"/>
          <w:lang w:val="en-US" w:eastAsia="en-US"/>
        </w:rPr>
      </w:pPr>
      <w:proofErr w:type="gramStart"/>
      <w:r w:rsidRPr="007B02D1">
        <w:rPr>
          <w:lang w:val="en-US"/>
        </w:rPr>
        <w:lastRenderedPageBreak/>
        <w:t>In light of</w:t>
      </w:r>
      <w:proofErr w:type="gramEnd"/>
      <w:r w:rsidRPr="007B02D1">
        <w:rPr>
          <w:lang w:val="en-US"/>
        </w:rPr>
        <w:t xml:space="preserve"> these developments, the question arises whether and when environmental destruction may fall within the scope of genocide under Article II(c) of the Genocide Convention</w:t>
      </w:r>
      <w:r w:rsidR="00BA319A" w:rsidRPr="007B02D1">
        <w:rPr>
          <w:rFonts w:eastAsiaTheme="minorHAnsi"/>
          <w:lang w:val="en-US" w:eastAsia="en-US"/>
        </w:rPr>
        <w:t>.</w:t>
      </w:r>
      <w:r w:rsidR="00507459" w:rsidRPr="007B02D1">
        <w:rPr>
          <w:rFonts w:eastAsiaTheme="minorHAnsi"/>
          <w:lang w:val="en-US" w:eastAsia="en-US"/>
        </w:rPr>
        <w:tab/>
      </w:r>
      <w:r w:rsidR="00507459" w:rsidRPr="007B02D1">
        <w:rPr>
          <w:rFonts w:eastAsiaTheme="minorHAnsi"/>
          <w:lang w:val="en-US" w:eastAsia="en-US"/>
        </w:rPr>
        <w:br/>
      </w:r>
    </w:p>
    <w:p w14:paraId="7CD549AA" w14:textId="620C103A" w:rsidR="00BA319A" w:rsidRPr="00D723FF" w:rsidRDefault="009910C8" w:rsidP="00D723FF">
      <w:pPr>
        <w:pStyle w:val="Kop2"/>
        <w:numPr>
          <w:ilvl w:val="0"/>
          <w:numId w:val="5"/>
        </w:numPr>
        <w:spacing w:line="360" w:lineRule="auto"/>
        <w:jc w:val="both"/>
        <w:rPr>
          <w:rFonts w:ascii="Times New Roman" w:hAnsi="Times New Roman" w:cs="Times New Roman"/>
          <w:lang w:val="en-US"/>
        </w:rPr>
      </w:pPr>
      <w:bookmarkStart w:id="2" w:name="_Toc230376179"/>
      <w:r w:rsidRPr="00D723FF">
        <w:rPr>
          <w:rFonts w:ascii="Times New Roman" w:hAnsi="Times New Roman" w:cs="Times New Roman"/>
          <w:lang w:val="en-US"/>
        </w:rPr>
        <w:t>Research question</w:t>
      </w:r>
      <w:bookmarkEnd w:id="2"/>
      <w:r w:rsidR="009D181C" w:rsidRPr="00D723FF">
        <w:rPr>
          <w:rFonts w:ascii="Times New Roman" w:hAnsi="Times New Roman" w:cs="Times New Roman"/>
          <w:lang w:val="en-US"/>
        </w:rPr>
        <w:tab/>
      </w:r>
    </w:p>
    <w:p w14:paraId="1273C055" w14:textId="272ABEED" w:rsidR="007B02D1" w:rsidRPr="007B02D1" w:rsidRDefault="00715BCD" w:rsidP="00D723FF">
      <w:pPr>
        <w:pStyle w:val="Normaalweb"/>
        <w:spacing w:line="360" w:lineRule="auto"/>
        <w:jc w:val="both"/>
        <w:rPr>
          <w:rFonts w:cs="Times New Roman"/>
          <w:i/>
          <w:iCs/>
          <w:lang w:eastAsia="nl-NL"/>
        </w:rPr>
      </w:pPr>
      <w:r w:rsidRPr="00D723FF">
        <w:rPr>
          <w:rFonts w:eastAsia="Times New Roman" w:cs="Times New Roman"/>
          <w:szCs w:val="24"/>
          <w:lang w:eastAsia="nl-NL"/>
        </w:rPr>
        <w:t xml:space="preserve">Against this background, the central research question of this thesis is the following: </w:t>
      </w:r>
      <w:r w:rsidRPr="00D723FF">
        <w:rPr>
          <w:rFonts w:cs="Times New Roman"/>
          <w:i/>
          <w:iCs/>
          <w:lang w:eastAsia="nl-NL"/>
        </w:rPr>
        <w:t>When can environmental destruction fall within the definition of genocide under Article II(c) of the Genocide Convention?</w:t>
      </w:r>
      <w:r w:rsidR="007B02D1">
        <w:rPr>
          <w:rFonts w:cs="Times New Roman"/>
          <w:i/>
          <w:iCs/>
          <w:lang w:eastAsia="nl-NL"/>
        </w:rPr>
        <w:tab/>
      </w:r>
      <w:r w:rsidR="007B02D1">
        <w:rPr>
          <w:rFonts w:cs="Times New Roman"/>
          <w:i/>
          <w:iCs/>
          <w:lang w:eastAsia="nl-NL"/>
        </w:rPr>
        <w:br/>
      </w:r>
    </w:p>
    <w:p w14:paraId="5D73759B" w14:textId="39B7FAE8" w:rsidR="000828C2" w:rsidRPr="00D723FF" w:rsidRDefault="00715BCD" w:rsidP="007B02D1">
      <w:pPr>
        <w:spacing w:after="100" w:afterAutospacing="1" w:line="360" w:lineRule="auto"/>
        <w:jc w:val="both"/>
        <w:rPr>
          <w:lang w:val="nl-BE" w:eastAsia="nl-NL"/>
        </w:rPr>
      </w:pPr>
      <w:r w:rsidRPr="00D723FF">
        <w:rPr>
          <w:lang w:val="nl-BE" w:eastAsia="nl-NL"/>
        </w:rPr>
        <w:t>In order to answer this central question, the research addresses four underlying sub-questions.</w:t>
      </w:r>
      <w:r w:rsidRPr="00D723FF">
        <w:rPr>
          <w:lang w:val="nl-BE" w:eastAsia="nl-NL"/>
        </w:rPr>
        <w:br/>
        <w:t xml:space="preserve">(1) First, what are the constitutive elements and interpretative limits of genocide under international law? (2) Second, how is environmental destruction understood and regulated under international law? (3) Third, </w:t>
      </w:r>
      <w:r w:rsidR="005A5FBF" w:rsidRPr="00D723FF">
        <w:rPr>
          <w:lang w:val="nl-BE" w:eastAsia="nl-NL"/>
        </w:rPr>
        <w:t>h</w:t>
      </w:r>
      <w:r w:rsidR="005A5FBF" w:rsidRPr="00D723FF">
        <w:rPr>
          <w:lang w:val="nl-BE" w:eastAsia="nl-NL"/>
        </w:rPr>
        <w:t>ow has Article II(c) of the Genocide Convention been interpreted by international courts and tribunals</w:t>
      </w:r>
      <w:r w:rsidRPr="00D723FF">
        <w:rPr>
          <w:lang w:val="nl-BE" w:eastAsia="nl-NL"/>
        </w:rPr>
        <w:t xml:space="preserve">, particularly regarding indirect forms of </w:t>
      </w:r>
      <w:r w:rsidR="005A5FBF" w:rsidRPr="00D723FF">
        <w:rPr>
          <w:lang w:val="nl-BE" w:eastAsia="nl-NL"/>
        </w:rPr>
        <w:t xml:space="preserve">‘physical </w:t>
      </w:r>
      <w:r w:rsidRPr="00D723FF">
        <w:rPr>
          <w:lang w:val="nl-BE" w:eastAsia="nl-NL"/>
        </w:rPr>
        <w:t>destruction</w:t>
      </w:r>
      <w:r w:rsidR="005A5FBF" w:rsidRPr="00D723FF">
        <w:rPr>
          <w:lang w:val="nl-BE" w:eastAsia="nl-NL"/>
        </w:rPr>
        <w:t>’</w:t>
      </w:r>
      <w:r w:rsidRPr="00D723FF">
        <w:rPr>
          <w:lang w:val="nl-BE" w:eastAsia="nl-NL"/>
        </w:rPr>
        <w:t xml:space="preserve"> and </w:t>
      </w:r>
      <w:r w:rsidR="005A5FBF" w:rsidRPr="00D723FF">
        <w:rPr>
          <w:lang w:val="nl-BE" w:eastAsia="nl-NL"/>
        </w:rPr>
        <w:t>‘</w:t>
      </w:r>
      <w:r w:rsidRPr="00D723FF">
        <w:rPr>
          <w:lang w:val="nl-BE" w:eastAsia="nl-NL"/>
        </w:rPr>
        <w:t>conditions of life</w:t>
      </w:r>
      <w:r w:rsidR="005A5FBF" w:rsidRPr="00D723FF">
        <w:rPr>
          <w:lang w:val="nl-BE" w:eastAsia="nl-NL"/>
        </w:rPr>
        <w:t>’</w:t>
      </w:r>
      <w:r w:rsidRPr="00D723FF">
        <w:rPr>
          <w:lang w:val="nl-BE" w:eastAsia="nl-NL"/>
        </w:rPr>
        <w:t>? (4) Finally, under which cumulative conditions may environmental destruction satisfy the requirements of genocide under Article II(c) of the Genocide Convention?</w:t>
      </w:r>
      <w:r w:rsidR="005A5FBF" w:rsidRPr="00D723FF">
        <w:rPr>
          <w:lang w:val="nl-BE" w:eastAsia="nl-NL"/>
        </w:rPr>
        <w:tab/>
      </w:r>
      <w:r w:rsidR="00CE2926" w:rsidRPr="00D723FF">
        <w:rPr>
          <w:lang w:val="nl-BE" w:eastAsia="nl-NL"/>
        </w:rPr>
        <w:br/>
      </w:r>
    </w:p>
    <w:p w14:paraId="2F66709F" w14:textId="74C3B299" w:rsidR="009301E1" w:rsidRPr="00D723FF" w:rsidRDefault="009301E1" w:rsidP="00D723FF">
      <w:pPr>
        <w:pStyle w:val="Kop3"/>
        <w:spacing w:line="360" w:lineRule="auto"/>
        <w:rPr>
          <w:rStyle w:val="Subtielebenadrukking"/>
          <w:rFonts w:cs="Times New Roman"/>
          <w:i/>
          <w:iCs w:val="0"/>
          <w:color w:val="000000" w:themeColor="text1"/>
          <w:lang w:val="en-US"/>
        </w:rPr>
      </w:pPr>
      <w:bookmarkStart w:id="3" w:name="_Toc230376180"/>
      <w:r w:rsidRPr="00D723FF">
        <w:rPr>
          <w:rStyle w:val="Subtielebenadrukking"/>
          <w:rFonts w:cs="Times New Roman"/>
          <w:i/>
          <w:iCs w:val="0"/>
          <w:color w:val="000000" w:themeColor="text1"/>
          <w:lang w:val="en-US"/>
        </w:rPr>
        <w:t>a. Sources of law used</w:t>
      </w:r>
      <w:bookmarkEnd w:id="3"/>
      <w:r w:rsidR="00866720" w:rsidRPr="00D723FF">
        <w:rPr>
          <w:rStyle w:val="Subtielebenadrukking"/>
          <w:rFonts w:cs="Times New Roman"/>
          <w:i/>
          <w:iCs w:val="0"/>
          <w:color w:val="000000" w:themeColor="text1"/>
          <w:lang w:val="en-US"/>
        </w:rPr>
        <w:tab/>
      </w:r>
    </w:p>
    <w:p w14:paraId="26DDCFB2" w14:textId="218F0079" w:rsidR="00727DE4" w:rsidRPr="00D723FF" w:rsidRDefault="009301E1" w:rsidP="00D723FF">
      <w:pPr>
        <w:pStyle w:val="Normaalweb"/>
        <w:spacing w:line="360" w:lineRule="auto"/>
        <w:jc w:val="both"/>
        <w:rPr>
          <w:rFonts w:cs="Times New Roman"/>
          <w:lang w:val="en-US"/>
        </w:rPr>
      </w:pPr>
      <w:r w:rsidRPr="00D723FF">
        <w:rPr>
          <w:rFonts w:cs="Times New Roman"/>
          <w:lang w:val="en-US"/>
        </w:rPr>
        <w:t xml:space="preserve">The sources of law consulted for this research are </w:t>
      </w:r>
      <w:r w:rsidR="009703CD" w:rsidRPr="00D723FF">
        <w:rPr>
          <w:rFonts w:cs="Times New Roman"/>
          <w:lang w:val="en-US"/>
        </w:rPr>
        <w:t>divided in</w:t>
      </w:r>
      <w:r w:rsidR="002B2746" w:rsidRPr="00D723FF">
        <w:rPr>
          <w:rFonts w:cs="Times New Roman"/>
          <w:lang w:val="en-US"/>
        </w:rPr>
        <w:t>to</w:t>
      </w:r>
      <w:r w:rsidR="009703CD" w:rsidRPr="00D723FF">
        <w:rPr>
          <w:rFonts w:cs="Times New Roman"/>
          <w:lang w:val="en-US"/>
        </w:rPr>
        <w:t xml:space="preserve"> the categories set out in Article 38 of the Statute of the International Court of Justice (</w:t>
      </w:r>
      <w:r w:rsidR="00826E54">
        <w:rPr>
          <w:rFonts w:cs="Times New Roman"/>
          <w:lang w:val="en-US"/>
        </w:rPr>
        <w:t xml:space="preserve">hereafter: </w:t>
      </w:r>
      <w:r w:rsidR="009703CD" w:rsidRPr="00D723FF">
        <w:rPr>
          <w:rFonts w:cs="Times New Roman"/>
          <w:lang w:val="en-US"/>
        </w:rPr>
        <w:t xml:space="preserve">‘ICJ Statute’). </w:t>
      </w:r>
      <w:r w:rsidRPr="00D723FF">
        <w:rPr>
          <w:rFonts w:cs="Times New Roman"/>
          <w:lang w:val="en-US"/>
        </w:rPr>
        <w:t>First, primary sources of international law are used, including the Genocide Convention, the Rome Statute of the International Criminal Court, and the Vienna Convention on the Law of Treaties. These instruments form the core legal framework for the definition and interpretation of genocide, including Article II(c).</w:t>
      </w:r>
      <w:r w:rsidR="00727DE4">
        <w:rPr>
          <w:rFonts w:cs="Times New Roman"/>
          <w:lang w:val="en-US"/>
        </w:rPr>
        <w:tab/>
      </w:r>
      <w:r w:rsidR="00727DE4">
        <w:rPr>
          <w:rFonts w:cs="Times New Roman"/>
          <w:lang w:val="en-US"/>
        </w:rPr>
        <w:br/>
      </w:r>
    </w:p>
    <w:p w14:paraId="4E6E4F35" w14:textId="3CE46D0E" w:rsidR="009301E1" w:rsidRDefault="009301E1" w:rsidP="00D723FF">
      <w:pPr>
        <w:pStyle w:val="Normaalweb"/>
        <w:spacing w:line="360" w:lineRule="auto"/>
        <w:jc w:val="both"/>
        <w:rPr>
          <w:rFonts w:cs="Times New Roman"/>
          <w:lang w:val="en-US"/>
        </w:rPr>
      </w:pPr>
      <w:r w:rsidRPr="00D723FF">
        <w:rPr>
          <w:rFonts w:cs="Times New Roman"/>
          <w:lang w:val="en-US"/>
        </w:rPr>
        <w:t>Second, customary international law</w:t>
      </w:r>
      <w:r w:rsidR="00CE2926" w:rsidRPr="00D723FF">
        <w:rPr>
          <w:rFonts w:cs="Times New Roman"/>
          <w:lang w:val="en-US"/>
        </w:rPr>
        <w:t xml:space="preserve"> (see </w:t>
      </w:r>
      <w:r w:rsidR="00CE2926" w:rsidRPr="00D723FF">
        <w:rPr>
          <w:rFonts w:cs="Times New Roman"/>
          <w:i/>
          <w:iCs/>
          <w:lang w:val="en-US"/>
        </w:rPr>
        <w:t xml:space="preserve">infra </w:t>
      </w:r>
      <w:r w:rsidR="00CE2926" w:rsidRPr="00D723FF">
        <w:rPr>
          <w:rFonts w:cs="Times New Roman"/>
          <w:lang w:val="en-US"/>
        </w:rPr>
        <w:t xml:space="preserve">Chapter 1.2.1.) </w:t>
      </w:r>
      <w:r w:rsidRPr="00D723FF">
        <w:rPr>
          <w:rFonts w:cs="Times New Roman"/>
          <w:lang w:val="en-US"/>
        </w:rPr>
        <w:t xml:space="preserve">is </w:t>
      </w:r>
      <w:proofErr w:type="gramStart"/>
      <w:r w:rsidRPr="00D723FF">
        <w:rPr>
          <w:rFonts w:cs="Times New Roman"/>
          <w:lang w:val="en-US"/>
        </w:rPr>
        <w:t>taken into account</w:t>
      </w:r>
      <w:proofErr w:type="gramEnd"/>
      <w:r w:rsidRPr="00D723FF">
        <w:rPr>
          <w:rFonts w:cs="Times New Roman"/>
          <w:lang w:val="en-US"/>
        </w:rPr>
        <w:t xml:space="preserve">, </w:t>
      </w:r>
      <w:proofErr w:type="gramStart"/>
      <w:r w:rsidRPr="00D723FF">
        <w:rPr>
          <w:rFonts w:cs="Times New Roman"/>
          <w:lang w:val="en-US"/>
        </w:rPr>
        <w:t>in particular where</w:t>
      </w:r>
      <w:proofErr w:type="gramEnd"/>
      <w:r w:rsidRPr="00D723FF">
        <w:rPr>
          <w:rFonts w:cs="Times New Roman"/>
          <w:lang w:val="en-US"/>
        </w:rPr>
        <w:t xml:space="preserve"> the elements of genocide and rules of treaty interpretation are considered to reflect general practice accepted as law.</w:t>
      </w:r>
    </w:p>
    <w:p w14:paraId="4B62AE03" w14:textId="77777777" w:rsidR="007B02D1" w:rsidRPr="00D723FF" w:rsidRDefault="007B02D1" w:rsidP="00D723FF">
      <w:pPr>
        <w:pStyle w:val="Normaalweb"/>
        <w:spacing w:line="360" w:lineRule="auto"/>
        <w:jc w:val="both"/>
        <w:rPr>
          <w:rFonts w:cs="Times New Roman"/>
          <w:lang w:val="en-US"/>
        </w:rPr>
      </w:pPr>
    </w:p>
    <w:p w14:paraId="78E18056" w14:textId="6506D4BE" w:rsidR="009301E1" w:rsidRPr="00D723FF" w:rsidRDefault="009301E1" w:rsidP="00D723FF">
      <w:pPr>
        <w:pStyle w:val="Normaalweb"/>
        <w:spacing w:line="360" w:lineRule="auto"/>
        <w:jc w:val="both"/>
        <w:rPr>
          <w:rFonts w:cs="Times New Roman"/>
          <w:lang w:val="en-US"/>
        </w:rPr>
      </w:pPr>
      <w:r w:rsidRPr="00D723FF">
        <w:rPr>
          <w:rFonts w:cs="Times New Roman"/>
          <w:lang w:val="en-US"/>
        </w:rPr>
        <w:lastRenderedPageBreak/>
        <w:t xml:space="preserve">Third, </w:t>
      </w:r>
      <w:r w:rsidR="005A5FBF" w:rsidRPr="00D723FF">
        <w:rPr>
          <w:rFonts w:cs="Times New Roman"/>
          <w:lang w:val="en-US"/>
        </w:rPr>
        <w:t>this research analyses relevant</w:t>
      </w:r>
      <w:r w:rsidRPr="00D723FF">
        <w:rPr>
          <w:rFonts w:cs="Times New Roman"/>
          <w:lang w:val="en-US"/>
        </w:rPr>
        <w:t xml:space="preserve"> case law from international courts and</w:t>
      </w:r>
      <w:r w:rsidR="005A5FBF" w:rsidRPr="00D723FF">
        <w:rPr>
          <w:rFonts w:cs="Times New Roman"/>
          <w:lang w:val="en-US"/>
        </w:rPr>
        <w:t xml:space="preserve"> tribunals</w:t>
      </w:r>
      <w:r w:rsidRPr="00D723FF">
        <w:rPr>
          <w:rFonts w:cs="Times New Roman"/>
          <w:lang w:val="en-US"/>
        </w:rPr>
        <w:t>. This includes jurisprudence from the International Court of Justice</w:t>
      </w:r>
      <w:r w:rsidR="009703CD" w:rsidRPr="00D723FF">
        <w:rPr>
          <w:rFonts w:cs="Times New Roman"/>
          <w:lang w:val="en-US"/>
        </w:rPr>
        <w:t xml:space="preserve"> (</w:t>
      </w:r>
      <w:r w:rsidR="005A5FBF" w:rsidRPr="00D723FF">
        <w:rPr>
          <w:rFonts w:cs="Times New Roman"/>
          <w:lang w:val="en-US"/>
        </w:rPr>
        <w:t>hereafter: ‘</w:t>
      </w:r>
      <w:r w:rsidR="009703CD" w:rsidRPr="00D723FF">
        <w:rPr>
          <w:rFonts w:cs="Times New Roman"/>
          <w:lang w:val="en-US"/>
        </w:rPr>
        <w:t>ICJ’)</w:t>
      </w:r>
      <w:r w:rsidRPr="00D723FF">
        <w:rPr>
          <w:rFonts w:cs="Times New Roman"/>
          <w:lang w:val="en-US"/>
        </w:rPr>
        <w:t>, the International Criminal Tribunal for Rwanda</w:t>
      </w:r>
      <w:r w:rsidR="009703CD" w:rsidRPr="00D723FF">
        <w:rPr>
          <w:rFonts w:cs="Times New Roman"/>
          <w:lang w:val="en-US"/>
        </w:rPr>
        <w:t xml:space="preserve"> (</w:t>
      </w:r>
      <w:r w:rsidR="005A5FBF" w:rsidRPr="00D723FF">
        <w:rPr>
          <w:rFonts w:cs="Times New Roman"/>
          <w:lang w:val="en-US"/>
        </w:rPr>
        <w:t xml:space="preserve">hereafter: </w:t>
      </w:r>
      <w:r w:rsidR="009703CD" w:rsidRPr="00D723FF">
        <w:rPr>
          <w:rFonts w:cs="Times New Roman"/>
          <w:lang w:val="en-US"/>
        </w:rPr>
        <w:t>‘ICTR’)</w:t>
      </w:r>
      <w:r w:rsidRPr="00D723FF">
        <w:rPr>
          <w:rFonts w:cs="Times New Roman"/>
          <w:lang w:val="en-US"/>
        </w:rPr>
        <w:t>, the International Criminal Tribunal for the former Yugoslavia</w:t>
      </w:r>
      <w:r w:rsidR="009703CD" w:rsidRPr="00D723FF">
        <w:rPr>
          <w:rFonts w:cs="Times New Roman"/>
          <w:lang w:val="en-US"/>
        </w:rPr>
        <w:t xml:space="preserve"> (</w:t>
      </w:r>
      <w:r w:rsidR="005A5FBF" w:rsidRPr="00D723FF">
        <w:rPr>
          <w:rFonts w:cs="Times New Roman"/>
          <w:lang w:val="en-US"/>
        </w:rPr>
        <w:t xml:space="preserve">hereafter: </w:t>
      </w:r>
      <w:r w:rsidR="009703CD" w:rsidRPr="00D723FF">
        <w:rPr>
          <w:rFonts w:cs="Times New Roman"/>
          <w:lang w:val="en-US"/>
        </w:rPr>
        <w:t>‘ICTY’)</w:t>
      </w:r>
      <w:r w:rsidRPr="00D723FF">
        <w:rPr>
          <w:rFonts w:cs="Times New Roman"/>
          <w:lang w:val="en-US"/>
        </w:rPr>
        <w:t>, and the International Criminal Court</w:t>
      </w:r>
      <w:r w:rsidR="009703CD" w:rsidRPr="00D723FF">
        <w:rPr>
          <w:rFonts w:cs="Times New Roman"/>
          <w:lang w:val="en-US"/>
        </w:rPr>
        <w:t xml:space="preserve"> (</w:t>
      </w:r>
      <w:r w:rsidR="005A5FBF" w:rsidRPr="00D723FF">
        <w:rPr>
          <w:rFonts w:cs="Times New Roman"/>
          <w:lang w:val="en-US"/>
        </w:rPr>
        <w:t xml:space="preserve">hereafter: </w:t>
      </w:r>
      <w:r w:rsidR="009703CD" w:rsidRPr="00D723FF">
        <w:rPr>
          <w:rFonts w:cs="Times New Roman"/>
          <w:lang w:val="en-US"/>
        </w:rPr>
        <w:t>‘ICC’)</w:t>
      </w:r>
      <w:r w:rsidRPr="00D723FF">
        <w:rPr>
          <w:rFonts w:cs="Times New Roman"/>
          <w:lang w:val="en-US"/>
        </w:rPr>
        <w:t xml:space="preserve">. These cases provide guidance on the interpretation of genocide, especially </w:t>
      </w:r>
      <w:proofErr w:type="gramStart"/>
      <w:r w:rsidRPr="00D723FF">
        <w:rPr>
          <w:rFonts w:cs="Times New Roman"/>
          <w:lang w:val="en-US"/>
        </w:rPr>
        <w:t>with regard to</w:t>
      </w:r>
      <w:proofErr w:type="gramEnd"/>
      <w:r w:rsidRPr="00D723FF">
        <w:rPr>
          <w:rFonts w:cs="Times New Roman"/>
          <w:lang w:val="en-US"/>
        </w:rPr>
        <w:t xml:space="preserve"> indirect forms of destruction and the threshold of Article II(c).</w:t>
      </w:r>
      <w:r w:rsidR="00727DE4">
        <w:rPr>
          <w:rFonts w:cs="Times New Roman"/>
          <w:lang w:val="en-US"/>
        </w:rPr>
        <w:tab/>
      </w:r>
      <w:r w:rsidR="007B02D1">
        <w:rPr>
          <w:rFonts w:cs="Times New Roman"/>
          <w:lang w:val="en-US"/>
        </w:rPr>
        <w:br/>
      </w:r>
    </w:p>
    <w:p w14:paraId="7E056C82" w14:textId="77777777" w:rsidR="009301E1" w:rsidRPr="00D723FF" w:rsidRDefault="009301E1" w:rsidP="00D723FF">
      <w:pPr>
        <w:pStyle w:val="Normaalweb"/>
        <w:spacing w:line="360" w:lineRule="auto"/>
        <w:jc w:val="both"/>
        <w:rPr>
          <w:rFonts w:cs="Times New Roman"/>
          <w:lang w:val="en-US"/>
        </w:rPr>
      </w:pPr>
      <w:r w:rsidRPr="00D723FF">
        <w:rPr>
          <w:rFonts w:cs="Times New Roman"/>
          <w:lang w:val="en-US"/>
        </w:rPr>
        <w:t>Finally, secondary sources are consulted, including academic literature, reports, and legal commentary. These sources support the interpretation of the Genocide Convention and provide insight into ongoing debates, particularly concerning environmental destruction as a method of genocide.</w:t>
      </w:r>
    </w:p>
    <w:p w14:paraId="70ACE7AB" w14:textId="77777777" w:rsidR="009D181C" w:rsidRPr="00D723FF" w:rsidRDefault="009D181C" w:rsidP="00D723FF">
      <w:pPr>
        <w:pStyle w:val="Normaalweb"/>
        <w:spacing w:line="360" w:lineRule="auto"/>
        <w:jc w:val="both"/>
        <w:rPr>
          <w:rFonts w:cs="Times New Roman"/>
          <w:lang w:val="en-US"/>
        </w:rPr>
      </w:pPr>
    </w:p>
    <w:p w14:paraId="2D146ECC" w14:textId="0173833A" w:rsidR="00A4678B" w:rsidRPr="00D723FF" w:rsidRDefault="00A4678B" w:rsidP="00D723FF">
      <w:pPr>
        <w:pStyle w:val="Kop3"/>
        <w:spacing w:line="360" w:lineRule="auto"/>
        <w:jc w:val="both"/>
        <w:rPr>
          <w:rStyle w:val="Subtielebenadrukking"/>
          <w:rFonts w:cs="Times New Roman"/>
          <w:i/>
          <w:iCs w:val="0"/>
          <w:color w:val="000000" w:themeColor="text1"/>
          <w:lang w:val="en-US"/>
        </w:rPr>
      </w:pPr>
      <w:bookmarkStart w:id="4" w:name="_Toc230376181"/>
      <w:r w:rsidRPr="00D723FF">
        <w:rPr>
          <w:rFonts w:cs="Times New Roman"/>
          <w:lang w:val="en-US"/>
        </w:rPr>
        <w:t>b. Doctrinal and interpretative approach</w:t>
      </w:r>
      <w:bookmarkEnd w:id="4"/>
      <w:r w:rsidR="00866720" w:rsidRPr="00D723FF">
        <w:rPr>
          <w:rStyle w:val="Subtielebenadrukking"/>
          <w:rFonts w:cs="Times New Roman"/>
          <w:i/>
          <w:iCs w:val="0"/>
          <w:color w:val="000000" w:themeColor="text1"/>
          <w:lang w:val="en-US"/>
        </w:rPr>
        <w:tab/>
      </w:r>
    </w:p>
    <w:p w14:paraId="685F8B48" w14:textId="74F3B7F8" w:rsidR="00496078" w:rsidRPr="00D723FF" w:rsidRDefault="000A2B0F" w:rsidP="00D723FF">
      <w:pPr>
        <w:spacing w:line="360" w:lineRule="auto"/>
        <w:jc w:val="both"/>
        <w:rPr>
          <w:rFonts w:eastAsiaTheme="minorHAnsi"/>
          <w:szCs w:val="22"/>
          <w:lang w:val="en-US" w:eastAsia="en-US"/>
        </w:rPr>
      </w:pPr>
      <w:r w:rsidRPr="00D723FF">
        <w:t xml:space="preserve">This </w:t>
      </w:r>
      <w:proofErr w:type="spellStart"/>
      <w:r w:rsidRPr="00D723FF">
        <w:t>research</w:t>
      </w:r>
      <w:proofErr w:type="spellEnd"/>
      <w:r w:rsidRPr="00D723FF">
        <w:t xml:space="preserve"> </w:t>
      </w:r>
      <w:proofErr w:type="spellStart"/>
      <w:r w:rsidRPr="00D723FF">
        <w:t>adopts</w:t>
      </w:r>
      <w:proofErr w:type="spellEnd"/>
      <w:r w:rsidRPr="00D723FF">
        <w:t xml:space="preserve"> a doctrinal, </w:t>
      </w:r>
      <w:proofErr w:type="spellStart"/>
      <w:r w:rsidRPr="00D723FF">
        <w:t>interpretative</w:t>
      </w:r>
      <w:proofErr w:type="spellEnd"/>
      <w:r w:rsidRPr="00D723FF">
        <w:t xml:space="preserve"> and </w:t>
      </w:r>
      <w:proofErr w:type="spellStart"/>
      <w:r w:rsidRPr="00D723FF">
        <w:t>jurisprudential</w:t>
      </w:r>
      <w:proofErr w:type="spellEnd"/>
      <w:r w:rsidRPr="00D723FF">
        <w:t xml:space="preserve"> </w:t>
      </w:r>
      <w:proofErr w:type="spellStart"/>
      <w:r w:rsidRPr="00D723FF">
        <w:t>approach</w:t>
      </w:r>
      <w:proofErr w:type="spellEnd"/>
      <w:r w:rsidRPr="00D723FF">
        <w:t xml:space="preserve">. The central question </w:t>
      </w:r>
      <w:proofErr w:type="spellStart"/>
      <w:r w:rsidRPr="00D723FF">
        <w:t>is</w:t>
      </w:r>
      <w:proofErr w:type="spellEnd"/>
      <w:r w:rsidRPr="00D723FF">
        <w:t xml:space="preserve"> </w:t>
      </w:r>
      <w:proofErr w:type="spellStart"/>
      <w:r w:rsidRPr="00D723FF">
        <w:t>whether</w:t>
      </w:r>
      <w:proofErr w:type="spellEnd"/>
      <w:r w:rsidRPr="00D723FF">
        <w:t xml:space="preserve">, and </w:t>
      </w:r>
      <w:proofErr w:type="spellStart"/>
      <w:r w:rsidRPr="00D723FF">
        <w:t>under</w:t>
      </w:r>
      <w:proofErr w:type="spellEnd"/>
      <w:r w:rsidRPr="00D723FF">
        <w:t xml:space="preserve"> </w:t>
      </w:r>
      <w:proofErr w:type="spellStart"/>
      <w:r w:rsidRPr="00D723FF">
        <w:t>which</w:t>
      </w:r>
      <w:proofErr w:type="spellEnd"/>
      <w:r w:rsidRPr="00D723FF">
        <w:t xml:space="preserve"> conditions, </w:t>
      </w:r>
      <w:proofErr w:type="spellStart"/>
      <w:r w:rsidRPr="00D723FF">
        <w:t>environmental</w:t>
      </w:r>
      <w:proofErr w:type="spellEnd"/>
      <w:r w:rsidRPr="00D723FF">
        <w:t xml:space="preserve"> destruction </w:t>
      </w:r>
      <w:proofErr w:type="spellStart"/>
      <w:r w:rsidRPr="00D723FF">
        <w:t>may</w:t>
      </w:r>
      <w:proofErr w:type="spellEnd"/>
      <w:r w:rsidRPr="00D723FF">
        <w:t xml:space="preserve"> </w:t>
      </w:r>
      <w:proofErr w:type="spellStart"/>
      <w:r w:rsidRPr="00D723FF">
        <w:t>fall</w:t>
      </w:r>
      <w:proofErr w:type="spellEnd"/>
      <w:r w:rsidRPr="00D723FF">
        <w:t xml:space="preserve"> </w:t>
      </w:r>
      <w:proofErr w:type="spellStart"/>
      <w:r w:rsidRPr="00D723FF">
        <w:t>within</w:t>
      </w:r>
      <w:proofErr w:type="spellEnd"/>
      <w:r w:rsidRPr="00D723FF">
        <w:t xml:space="preserve"> the scope of Article II(c) of the </w:t>
      </w:r>
      <w:proofErr w:type="spellStart"/>
      <w:r w:rsidRPr="00D723FF">
        <w:t>Genocide</w:t>
      </w:r>
      <w:proofErr w:type="spellEnd"/>
      <w:r w:rsidRPr="00D723FF">
        <w:t xml:space="preserve"> Convention.</w:t>
      </w:r>
      <w:r w:rsidRPr="00D723FF">
        <w:rPr>
          <w:rFonts w:eastAsiaTheme="minorHAnsi"/>
          <w:szCs w:val="22"/>
          <w:lang w:val="en-US" w:eastAsia="en-US"/>
        </w:rPr>
        <w:t xml:space="preserve"> </w:t>
      </w:r>
      <w:r w:rsidRPr="00D723FF">
        <w:rPr>
          <w:rFonts w:eastAsiaTheme="minorHAnsi"/>
          <w:szCs w:val="22"/>
          <w:lang w:val="en-US" w:eastAsia="en-US"/>
        </w:rPr>
        <w:tab/>
      </w:r>
      <w:r w:rsidRPr="00D723FF">
        <w:rPr>
          <w:rFonts w:eastAsiaTheme="minorHAnsi"/>
          <w:szCs w:val="22"/>
          <w:lang w:val="en-US" w:eastAsia="en-US"/>
        </w:rPr>
        <w:br/>
      </w:r>
      <w:r w:rsidRPr="00D723FF">
        <w:rPr>
          <w:rFonts w:eastAsiaTheme="minorHAnsi"/>
          <w:szCs w:val="22"/>
          <w:lang w:val="en-US" w:eastAsia="en-US"/>
        </w:rPr>
        <w:br/>
      </w:r>
      <w:r w:rsidRPr="00D723FF">
        <w:t xml:space="preserve">The </w:t>
      </w:r>
      <w:proofErr w:type="spellStart"/>
      <w:r w:rsidRPr="00D723FF">
        <w:t>analysis</w:t>
      </w:r>
      <w:proofErr w:type="spellEnd"/>
      <w:r w:rsidRPr="00D723FF">
        <w:t xml:space="preserve"> </w:t>
      </w:r>
      <w:proofErr w:type="spellStart"/>
      <w:r w:rsidRPr="00D723FF">
        <w:t>is</w:t>
      </w:r>
      <w:proofErr w:type="spellEnd"/>
      <w:r w:rsidRPr="00D723FF">
        <w:t xml:space="preserve"> </w:t>
      </w:r>
      <w:proofErr w:type="spellStart"/>
      <w:r w:rsidRPr="00D723FF">
        <w:t>based</w:t>
      </w:r>
      <w:proofErr w:type="spellEnd"/>
      <w:r w:rsidRPr="00D723FF">
        <w:t xml:space="preserve"> on </w:t>
      </w:r>
      <w:proofErr w:type="spellStart"/>
      <w:r w:rsidRPr="00D723FF">
        <w:t>criteria</w:t>
      </w:r>
      <w:proofErr w:type="spellEnd"/>
      <w:r w:rsidRPr="00D723FF">
        <w:t xml:space="preserve"> </w:t>
      </w:r>
      <w:proofErr w:type="spellStart"/>
      <w:r w:rsidRPr="00D723FF">
        <w:t>derived</w:t>
      </w:r>
      <w:proofErr w:type="spellEnd"/>
      <w:r w:rsidRPr="00D723FF">
        <w:t xml:space="preserve"> </w:t>
      </w:r>
      <w:proofErr w:type="spellStart"/>
      <w:r w:rsidRPr="00D723FF">
        <w:t>from</w:t>
      </w:r>
      <w:proofErr w:type="spellEnd"/>
      <w:r w:rsidRPr="00D723FF">
        <w:t xml:space="preserve"> international </w:t>
      </w:r>
      <w:proofErr w:type="spellStart"/>
      <w:r w:rsidRPr="00D723FF">
        <w:t>law</w:t>
      </w:r>
      <w:proofErr w:type="spellEnd"/>
      <w:r w:rsidRPr="00D723FF">
        <w:t xml:space="preserve">, </w:t>
      </w:r>
      <w:proofErr w:type="spellStart"/>
      <w:r w:rsidRPr="00D723FF">
        <w:t>including</w:t>
      </w:r>
      <w:proofErr w:type="spellEnd"/>
      <w:r w:rsidRPr="00D723FF">
        <w:t xml:space="preserve"> </w:t>
      </w:r>
      <w:proofErr w:type="spellStart"/>
      <w:r w:rsidRPr="00D723FF">
        <w:t>treaty</w:t>
      </w:r>
      <w:proofErr w:type="spellEnd"/>
      <w:r w:rsidRPr="00D723FF">
        <w:t xml:space="preserve"> </w:t>
      </w:r>
      <w:proofErr w:type="spellStart"/>
      <w:r w:rsidRPr="00D723FF">
        <w:t>law</w:t>
      </w:r>
      <w:proofErr w:type="spellEnd"/>
      <w:r w:rsidRPr="00D723FF">
        <w:t xml:space="preserve">, </w:t>
      </w:r>
      <w:proofErr w:type="spellStart"/>
      <w:r w:rsidRPr="00D723FF">
        <w:t>customary</w:t>
      </w:r>
      <w:proofErr w:type="spellEnd"/>
      <w:r w:rsidRPr="00D723FF">
        <w:t xml:space="preserve"> international </w:t>
      </w:r>
      <w:proofErr w:type="spellStart"/>
      <w:r w:rsidRPr="00D723FF">
        <w:t>law</w:t>
      </w:r>
      <w:proofErr w:type="spellEnd"/>
      <w:r w:rsidRPr="00D723FF">
        <w:t xml:space="preserve">, and international jurisprudence. Rather </w:t>
      </w:r>
      <w:proofErr w:type="spellStart"/>
      <w:r w:rsidRPr="00D723FF">
        <w:t>than</w:t>
      </w:r>
      <w:proofErr w:type="spellEnd"/>
      <w:r w:rsidRPr="00D723FF">
        <w:t xml:space="preserve"> </w:t>
      </w:r>
      <w:proofErr w:type="spellStart"/>
      <w:r w:rsidRPr="00D723FF">
        <w:t>proposing</w:t>
      </w:r>
      <w:proofErr w:type="spellEnd"/>
      <w:r w:rsidRPr="00D723FF">
        <w:t xml:space="preserve"> new normative standards, the </w:t>
      </w:r>
      <w:proofErr w:type="spellStart"/>
      <w:r w:rsidRPr="00D723FF">
        <w:t>research</w:t>
      </w:r>
      <w:proofErr w:type="spellEnd"/>
      <w:r w:rsidRPr="00D723FF">
        <w:t xml:space="preserve"> examines how </w:t>
      </w:r>
      <w:proofErr w:type="spellStart"/>
      <w:r w:rsidRPr="00D723FF">
        <w:t>existing</w:t>
      </w:r>
      <w:proofErr w:type="spellEnd"/>
      <w:r w:rsidRPr="00D723FF">
        <w:t xml:space="preserve"> </w:t>
      </w:r>
      <w:proofErr w:type="spellStart"/>
      <w:r w:rsidRPr="00D723FF">
        <w:t>legal</w:t>
      </w:r>
      <w:proofErr w:type="spellEnd"/>
      <w:r w:rsidRPr="00D723FF">
        <w:t xml:space="preserve"> </w:t>
      </w:r>
      <w:proofErr w:type="spellStart"/>
      <w:r w:rsidRPr="00D723FF">
        <w:t>rules</w:t>
      </w:r>
      <w:proofErr w:type="spellEnd"/>
      <w:r w:rsidRPr="00D723FF">
        <w:t xml:space="preserve"> </w:t>
      </w:r>
      <w:proofErr w:type="spellStart"/>
      <w:r w:rsidRPr="00D723FF">
        <w:t>may</w:t>
      </w:r>
      <w:proofErr w:type="spellEnd"/>
      <w:r w:rsidRPr="00D723FF">
        <w:t xml:space="preserve"> </w:t>
      </w:r>
      <w:proofErr w:type="spellStart"/>
      <w:r w:rsidRPr="00D723FF">
        <w:t>be</w:t>
      </w:r>
      <w:proofErr w:type="spellEnd"/>
      <w:r w:rsidRPr="00D723FF">
        <w:t xml:space="preserve"> </w:t>
      </w:r>
      <w:proofErr w:type="spellStart"/>
      <w:r w:rsidRPr="00D723FF">
        <w:t>interpreted</w:t>
      </w:r>
      <w:proofErr w:type="spellEnd"/>
      <w:r w:rsidRPr="00D723FF">
        <w:t xml:space="preserve"> and </w:t>
      </w:r>
      <w:proofErr w:type="spellStart"/>
      <w:r w:rsidRPr="00D723FF">
        <w:t>applied</w:t>
      </w:r>
      <w:proofErr w:type="spellEnd"/>
      <w:r w:rsidRPr="00D723FF">
        <w:t xml:space="preserve"> in light of </w:t>
      </w:r>
      <w:proofErr w:type="spellStart"/>
      <w:r w:rsidRPr="00D723FF">
        <w:t>contemporary</w:t>
      </w:r>
      <w:proofErr w:type="spellEnd"/>
      <w:r w:rsidRPr="00D723FF">
        <w:t xml:space="preserve"> </w:t>
      </w:r>
      <w:proofErr w:type="spellStart"/>
      <w:r w:rsidRPr="00D723FF">
        <w:t>forms</w:t>
      </w:r>
      <w:proofErr w:type="spellEnd"/>
      <w:r w:rsidRPr="00D723FF">
        <w:t xml:space="preserve"> of destruction.</w:t>
      </w:r>
      <w:bookmarkStart w:id="5" w:name="_Toc225520344"/>
      <w:bookmarkStart w:id="6" w:name="_Toc225521889"/>
      <w:r w:rsidR="0051695D" w:rsidRPr="00D723FF">
        <w:rPr>
          <w:rFonts w:eastAsiaTheme="minorHAnsi"/>
          <w:szCs w:val="22"/>
          <w:lang w:val="en-US" w:eastAsia="en-US"/>
        </w:rPr>
        <w:tab/>
      </w:r>
      <w:r w:rsidR="0051695D" w:rsidRPr="00D723FF">
        <w:rPr>
          <w:rFonts w:eastAsiaTheme="minorHAnsi"/>
          <w:szCs w:val="22"/>
          <w:lang w:val="en-US" w:eastAsia="en-US"/>
        </w:rPr>
        <w:br/>
      </w:r>
      <w:r w:rsidR="0051695D" w:rsidRPr="00D723FF">
        <w:rPr>
          <w:rFonts w:eastAsiaTheme="minorHAnsi"/>
          <w:szCs w:val="22"/>
          <w:lang w:val="en-US" w:eastAsia="en-US"/>
        </w:rPr>
        <w:br/>
        <w:t>T</w:t>
      </w:r>
      <w:r w:rsidR="00496078" w:rsidRPr="00D723FF">
        <w:rPr>
          <w:rFonts w:eastAsiaTheme="minorHAnsi"/>
          <w:szCs w:val="22"/>
          <w:lang w:val="en-US" w:eastAsia="en-US"/>
        </w:rPr>
        <w:t xml:space="preserve">he primary analytical framework consists of the elements of Article II(c) of the Genocide Convention, interpreted in accordance with Articles 31 and 32 of the Vienna Convention on the Law of Treaties. </w:t>
      </w:r>
      <w:proofErr w:type="gramStart"/>
      <w:r w:rsidR="00496078" w:rsidRPr="00D723FF">
        <w:rPr>
          <w:rFonts w:eastAsiaTheme="minorHAnsi"/>
          <w:szCs w:val="22"/>
          <w:lang w:val="en-US" w:eastAsia="en-US"/>
        </w:rPr>
        <w:t>Particular attention</w:t>
      </w:r>
      <w:proofErr w:type="gramEnd"/>
      <w:r w:rsidR="00496078" w:rsidRPr="00D723FF">
        <w:rPr>
          <w:rFonts w:eastAsiaTheme="minorHAnsi"/>
          <w:szCs w:val="22"/>
          <w:lang w:val="en-US" w:eastAsia="en-US"/>
        </w:rPr>
        <w:t xml:space="preserve"> is given to the interpretation of the notions of “conditions of life” and “physical destruction”, as well as to the limits of interpretation under international criminal law.</w:t>
      </w:r>
      <w:r w:rsidR="00496078" w:rsidRPr="00D723FF">
        <w:rPr>
          <w:rFonts w:eastAsiaTheme="minorHAnsi"/>
          <w:szCs w:val="22"/>
          <w:lang w:val="en-US" w:eastAsia="en-US"/>
        </w:rPr>
        <w:tab/>
      </w:r>
      <w:r w:rsidR="00496078" w:rsidRPr="00D723FF">
        <w:rPr>
          <w:rFonts w:eastAsiaTheme="minorHAnsi"/>
          <w:szCs w:val="22"/>
          <w:lang w:val="en-US" w:eastAsia="en-US"/>
        </w:rPr>
        <w:br/>
      </w:r>
      <w:r w:rsidR="00496078" w:rsidRPr="00D723FF">
        <w:rPr>
          <w:rFonts w:eastAsiaTheme="minorHAnsi"/>
          <w:szCs w:val="22"/>
          <w:lang w:val="en-US" w:eastAsia="en-US"/>
        </w:rPr>
        <w:br/>
      </w:r>
      <w:bookmarkEnd w:id="5"/>
      <w:bookmarkEnd w:id="6"/>
      <w:r w:rsidR="00496078" w:rsidRPr="00D723FF">
        <w:rPr>
          <w:lang w:val="nl-BE"/>
        </w:rPr>
        <w:t>The research additionally compares the approaches adopted by different international courts and tribunals concerning indirect forms of destruction under Article II(c), including the jurisprudence of the ICTR, ICTY, ICC and ICJ.</w:t>
      </w:r>
      <w:r w:rsidR="0051695D" w:rsidRPr="00D723FF">
        <w:rPr>
          <w:lang w:val="nl-BE"/>
        </w:rPr>
        <w:t xml:space="preserve"> </w:t>
      </w:r>
      <w:r w:rsidR="00496078" w:rsidRPr="00D723FF">
        <w:rPr>
          <w:rFonts w:eastAsiaTheme="minorHAnsi"/>
          <w:szCs w:val="22"/>
          <w:lang w:val="nl-BE" w:eastAsia="en-US"/>
        </w:rPr>
        <w:t xml:space="preserve">At the same time, the research recognises the broader doctrinal debate concerning the scope of genocide. </w:t>
      </w:r>
      <w:r w:rsidR="00727DE4">
        <w:rPr>
          <w:rFonts w:eastAsiaTheme="minorHAnsi"/>
          <w:szCs w:val="22"/>
          <w:lang w:val="nl-BE" w:eastAsia="en-US"/>
        </w:rPr>
        <w:tab/>
      </w:r>
      <w:r w:rsidR="00727DE4">
        <w:rPr>
          <w:rFonts w:eastAsiaTheme="minorHAnsi"/>
          <w:szCs w:val="22"/>
          <w:lang w:val="nl-BE" w:eastAsia="en-US"/>
        </w:rPr>
        <w:br/>
      </w:r>
      <w:r w:rsidR="00496078" w:rsidRPr="00D723FF">
        <w:rPr>
          <w:rFonts w:eastAsiaTheme="minorHAnsi"/>
          <w:szCs w:val="22"/>
          <w:lang w:val="nl-BE" w:eastAsia="en-US"/>
        </w:rPr>
        <w:lastRenderedPageBreak/>
        <w:t>While an overly restrictive interpretation may risk excluding contemporary methods of destruction operating through indirect mechanisms, an excessively broad interpretation risks undermining the exceptional character and legal certainty of the crime of genocide.</w:t>
      </w:r>
      <w:r w:rsidR="00CE2926" w:rsidRPr="00D723FF">
        <w:rPr>
          <w:rFonts w:eastAsiaTheme="minorHAnsi"/>
          <w:szCs w:val="22"/>
          <w:lang w:val="nl-BE" w:eastAsia="en-US"/>
        </w:rPr>
        <w:tab/>
      </w:r>
      <w:r w:rsidR="00CE2926" w:rsidRPr="00D723FF">
        <w:rPr>
          <w:lang w:val="nl-BE"/>
        </w:rPr>
        <w:br/>
      </w:r>
      <w:r w:rsidR="00F55CB6" w:rsidRPr="00D723FF">
        <w:rPr>
          <w:lang w:val="en-US"/>
        </w:rPr>
        <w:br/>
      </w:r>
      <w:r w:rsidR="00701EB4" w:rsidRPr="00D723FF">
        <w:rPr>
          <w:lang w:val="en-US"/>
        </w:rPr>
        <w:t>The research follows an analytical and interpretative approach. It does not aim to redefine genocide, but rather to assess how far the existing legal framework can be interpreted to include environmental destruction as a method of genocidal conduct.</w:t>
      </w:r>
      <w:r w:rsidR="00F55CB6" w:rsidRPr="00D723FF">
        <w:rPr>
          <w:lang w:val="en-US"/>
        </w:rPr>
        <w:tab/>
      </w:r>
      <w:r w:rsidR="00F55CB6" w:rsidRPr="00D723FF">
        <w:rPr>
          <w:lang w:val="en-US"/>
        </w:rPr>
        <w:br/>
      </w:r>
    </w:p>
    <w:p w14:paraId="43F45FDD" w14:textId="3DDEE9F7" w:rsidR="000A2B0F" w:rsidRPr="00D723FF" w:rsidRDefault="000A2B0F" w:rsidP="00D723FF">
      <w:pPr>
        <w:pStyle w:val="Kop2"/>
        <w:numPr>
          <w:ilvl w:val="0"/>
          <w:numId w:val="5"/>
        </w:numPr>
        <w:spacing w:line="360" w:lineRule="auto"/>
        <w:rPr>
          <w:rFonts w:ascii="Times New Roman" w:eastAsiaTheme="minorHAnsi" w:hAnsi="Times New Roman" w:cs="Times New Roman"/>
          <w:lang w:val="en-US" w:eastAsia="en-US"/>
        </w:rPr>
      </w:pPr>
      <w:bookmarkStart w:id="7" w:name="_Toc230376182"/>
      <w:r w:rsidRPr="00D723FF">
        <w:rPr>
          <w:rStyle w:val="Subtielebenadrukking"/>
          <w:rFonts w:ascii="Times New Roman" w:hAnsi="Times New Roman" w:cs="Times New Roman"/>
          <w:i w:val="0"/>
          <w:iCs w:val="0"/>
          <w:color w:val="000000" w:themeColor="text1"/>
          <w:lang w:val="en-US"/>
        </w:rPr>
        <w:t>Limitations of the research</w:t>
      </w:r>
      <w:bookmarkEnd w:id="7"/>
    </w:p>
    <w:p w14:paraId="00E2477C" w14:textId="227E6A07" w:rsidR="004B603B" w:rsidRPr="00D723FF" w:rsidRDefault="00F55CB6" w:rsidP="00D723FF">
      <w:pPr>
        <w:spacing w:line="360" w:lineRule="auto"/>
        <w:jc w:val="both"/>
        <w:rPr>
          <w:lang w:val="nl-BE" w:eastAsia="en-US"/>
        </w:rPr>
      </w:pPr>
      <w:r w:rsidRPr="00D723FF">
        <w:rPr>
          <w:lang w:val="nl-BE" w:eastAsia="en-US"/>
        </w:rPr>
        <w:t>The attention</w:t>
      </w:r>
      <w:r w:rsidR="000A2B0F" w:rsidRPr="00D723FF">
        <w:rPr>
          <w:lang w:val="nl-BE" w:eastAsia="en-US"/>
        </w:rPr>
        <w:t xml:space="preserve"> is limited to the interpretation of Article II(c) of the Genocide Convention in relation to environmental destruction. </w:t>
      </w:r>
      <w:r w:rsidR="00FF609C" w:rsidRPr="00FF609C">
        <w:rPr>
          <w:lang w:eastAsia="en-US"/>
        </w:rPr>
        <w:t xml:space="preserve"> It </w:t>
      </w:r>
      <w:proofErr w:type="spellStart"/>
      <w:r w:rsidR="00FF609C" w:rsidRPr="00FF609C">
        <w:rPr>
          <w:lang w:eastAsia="en-US"/>
        </w:rPr>
        <w:t>does</w:t>
      </w:r>
      <w:proofErr w:type="spellEnd"/>
      <w:r w:rsidR="00FF609C" w:rsidRPr="00FF609C">
        <w:rPr>
          <w:lang w:eastAsia="en-US"/>
        </w:rPr>
        <w:t xml:space="preserve"> not </w:t>
      </w:r>
      <w:proofErr w:type="spellStart"/>
      <w:r w:rsidR="00FF609C" w:rsidRPr="00FF609C">
        <w:rPr>
          <w:lang w:eastAsia="en-US"/>
        </w:rPr>
        <w:t>provide</w:t>
      </w:r>
      <w:proofErr w:type="spellEnd"/>
      <w:r w:rsidR="00FF609C" w:rsidRPr="00FF609C">
        <w:rPr>
          <w:lang w:eastAsia="en-US"/>
        </w:rPr>
        <w:t xml:space="preserve"> a </w:t>
      </w:r>
      <w:proofErr w:type="spellStart"/>
      <w:r w:rsidR="00FF609C" w:rsidRPr="00FF609C">
        <w:rPr>
          <w:lang w:eastAsia="en-US"/>
        </w:rPr>
        <w:t>comprehensive</w:t>
      </w:r>
      <w:proofErr w:type="spellEnd"/>
      <w:r w:rsidR="00FF609C" w:rsidRPr="00FF609C">
        <w:rPr>
          <w:lang w:eastAsia="en-US"/>
        </w:rPr>
        <w:t xml:space="preserve"> </w:t>
      </w:r>
      <w:proofErr w:type="spellStart"/>
      <w:r w:rsidR="00FF609C" w:rsidRPr="00FF609C">
        <w:rPr>
          <w:lang w:eastAsia="en-US"/>
        </w:rPr>
        <w:t>analysis</w:t>
      </w:r>
      <w:proofErr w:type="spellEnd"/>
      <w:r w:rsidR="00FF609C" w:rsidRPr="00FF609C">
        <w:rPr>
          <w:lang w:eastAsia="en-US"/>
        </w:rPr>
        <w:t xml:space="preserve"> of international </w:t>
      </w:r>
      <w:proofErr w:type="spellStart"/>
      <w:r w:rsidR="00FF609C" w:rsidRPr="00FF609C">
        <w:rPr>
          <w:lang w:eastAsia="en-US"/>
        </w:rPr>
        <w:t>environmental</w:t>
      </w:r>
      <w:proofErr w:type="spellEnd"/>
      <w:r w:rsidR="00FF609C" w:rsidRPr="00FF609C">
        <w:rPr>
          <w:lang w:eastAsia="en-US"/>
        </w:rPr>
        <w:t xml:space="preserve"> or international </w:t>
      </w:r>
      <w:proofErr w:type="spellStart"/>
      <w:r w:rsidR="00FF609C" w:rsidRPr="00FF609C">
        <w:rPr>
          <w:lang w:eastAsia="en-US"/>
        </w:rPr>
        <w:t>humanitarian</w:t>
      </w:r>
      <w:proofErr w:type="spellEnd"/>
      <w:r w:rsidR="00FF609C" w:rsidRPr="00FF609C">
        <w:rPr>
          <w:lang w:eastAsia="en-US"/>
        </w:rPr>
        <w:t xml:space="preserve"> </w:t>
      </w:r>
      <w:proofErr w:type="spellStart"/>
      <w:r w:rsidR="00FF609C" w:rsidRPr="00FF609C">
        <w:rPr>
          <w:lang w:eastAsia="en-US"/>
        </w:rPr>
        <w:t>law</w:t>
      </w:r>
      <w:proofErr w:type="spellEnd"/>
      <w:r w:rsidR="00FF609C" w:rsidRPr="00FF609C">
        <w:rPr>
          <w:lang w:eastAsia="en-US"/>
        </w:rPr>
        <w:t xml:space="preserve"> as </w:t>
      </w:r>
      <w:proofErr w:type="spellStart"/>
      <w:r w:rsidR="00FF609C" w:rsidRPr="00FF609C">
        <w:rPr>
          <w:lang w:eastAsia="en-US"/>
        </w:rPr>
        <w:t>autonomous</w:t>
      </w:r>
      <w:proofErr w:type="spellEnd"/>
      <w:r w:rsidR="00FF609C" w:rsidRPr="00FF609C">
        <w:rPr>
          <w:lang w:eastAsia="en-US"/>
        </w:rPr>
        <w:t xml:space="preserve"> branches of international </w:t>
      </w:r>
      <w:proofErr w:type="spellStart"/>
      <w:r w:rsidR="00FF609C" w:rsidRPr="00FF609C">
        <w:rPr>
          <w:lang w:eastAsia="en-US"/>
        </w:rPr>
        <w:t>law</w:t>
      </w:r>
      <w:proofErr w:type="spellEnd"/>
      <w:r w:rsidR="000A2B0F" w:rsidRPr="00D723FF">
        <w:rPr>
          <w:lang w:val="nl-BE" w:eastAsia="en-US"/>
        </w:rPr>
        <w:t>. In particular, the research does not attempt to develop an exhaustive legal definition of the concept of ‘environment’, since these concept remain debated and are examined only insofar as necessary for the interpretation of Article II(c).</w:t>
      </w:r>
      <w:r w:rsidR="0051695D" w:rsidRPr="00D723FF">
        <w:rPr>
          <w:lang w:val="nl-BE" w:eastAsia="en-US"/>
        </w:rPr>
        <w:tab/>
      </w:r>
      <w:r w:rsidR="000A2B0F" w:rsidRPr="00D723FF">
        <w:rPr>
          <w:lang w:val="nl-BE" w:eastAsia="en-US"/>
        </w:rPr>
        <w:br/>
      </w:r>
      <w:r w:rsidR="000A2B0F" w:rsidRPr="00D723FF">
        <w:rPr>
          <w:lang w:val="nl-BE" w:eastAsia="en-US"/>
        </w:rPr>
        <w:br/>
      </w:r>
      <w:r w:rsidRPr="00D723FF">
        <w:rPr>
          <w:lang w:val="nl-BE" w:eastAsia="en-US"/>
        </w:rPr>
        <w:t>It</w:t>
      </w:r>
      <w:r w:rsidR="000A2B0F" w:rsidRPr="00D723FF">
        <w:rPr>
          <w:lang w:val="nl-BE" w:eastAsia="en-US"/>
        </w:rPr>
        <w:t xml:space="preserve"> furthermore focuses exclusively on genocide and does not systematically analyse other international crimes, such as crimes against humanity</w:t>
      </w:r>
      <w:r w:rsidRPr="00D723FF">
        <w:rPr>
          <w:lang w:val="nl-BE" w:eastAsia="en-US"/>
        </w:rPr>
        <w:t xml:space="preserve"> or </w:t>
      </w:r>
      <w:r w:rsidR="000A2B0F" w:rsidRPr="00D723FF">
        <w:rPr>
          <w:lang w:val="nl-BE" w:eastAsia="en-US"/>
        </w:rPr>
        <w:t xml:space="preserve">war crimes except where comparison is necessary to clarify the scope of genocide. Accordingly, the discussion of ecocide </w:t>
      </w:r>
      <w:r w:rsidRPr="00D723FF">
        <w:rPr>
          <w:lang w:val="nl-BE" w:eastAsia="en-US"/>
        </w:rPr>
        <w:t xml:space="preserve">(see </w:t>
      </w:r>
      <w:r w:rsidRPr="00D723FF">
        <w:rPr>
          <w:i/>
          <w:iCs/>
          <w:lang w:val="nl-BE" w:eastAsia="en-US"/>
        </w:rPr>
        <w:t xml:space="preserve">infra </w:t>
      </w:r>
      <w:r w:rsidRPr="00D723FF">
        <w:rPr>
          <w:lang w:val="nl-BE" w:eastAsia="en-US"/>
        </w:rPr>
        <w:t xml:space="preserve">Chapter 4.3.) </w:t>
      </w:r>
      <w:r w:rsidR="000A2B0F" w:rsidRPr="00D723FF">
        <w:rPr>
          <w:lang w:val="nl-BE" w:eastAsia="en-US"/>
        </w:rPr>
        <w:t>remains very limited and serves primarily to distinguish environmental destruction directed against ecosystems from destruction aimed at protected human groups.</w:t>
      </w:r>
      <w:r w:rsidR="000A2B0F" w:rsidRPr="00D723FF">
        <w:rPr>
          <w:lang w:val="nl-BE" w:eastAsia="en-US"/>
        </w:rPr>
        <w:tab/>
      </w:r>
      <w:r w:rsidR="000A2B0F" w:rsidRPr="00D723FF">
        <w:rPr>
          <w:lang w:val="nl-BE" w:eastAsia="en-US"/>
        </w:rPr>
        <w:br/>
      </w:r>
      <w:r w:rsidR="000A2B0F" w:rsidRPr="00D723FF">
        <w:rPr>
          <w:lang w:val="nl-BE" w:eastAsia="en-US"/>
        </w:rPr>
        <w:br/>
      </w:r>
    </w:p>
    <w:p w14:paraId="545C80AE" w14:textId="77777777" w:rsidR="004B603B" w:rsidRPr="00D723FF" w:rsidRDefault="004B603B" w:rsidP="00D723FF">
      <w:pPr>
        <w:spacing w:line="360" w:lineRule="auto"/>
        <w:jc w:val="both"/>
        <w:rPr>
          <w:lang w:val="nl-BE" w:eastAsia="en-US"/>
        </w:rPr>
      </w:pPr>
    </w:p>
    <w:p w14:paraId="45213D46" w14:textId="77777777" w:rsidR="004B603B" w:rsidRPr="00D723FF" w:rsidRDefault="004B603B" w:rsidP="00D723FF">
      <w:pPr>
        <w:spacing w:line="360" w:lineRule="auto"/>
        <w:jc w:val="both"/>
        <w:rPr>
          <w:lang w:val="nl-BE" w:eastAsia="en-US"/>
        </w:rPr>
      </w:pPr>
    </w:p>
    <w:p w14:paraId="3EFC58F6" w14:textId="77777777" w:rsidR="004B603B" w:rsidRPr="00D723FF" w:rsidRDefault="004B603B" w:rsidP="00D723FF">
      <w:pPr>
        <w:spacing w:line="360" w:lineRule="auto"/>
        <w:jc w:val="both"/>
        <w:rPr>
          <w:lang w:val="nl-BE" w:eastAsia="en-US"/>
        </w:rPr>
      </w:pPr>
    </w:p>
    <w:p w14:paraId="0B546072" w14:textId="77777777" w:rsidR="004B603B" w:rsidRPr="00D723FF" w:rsidRDefault="004B603B" w:rsidP="00D723FF">
      <w:pPr>
        <w:spacing w:line="360" w:lineRule="auto"/>
        <w:rPr>
          <w:lang w:val="nl-BE" w:eastAsia="en-US"/>
        </w:rPr>
      </w:pPr>
    </w:p>
    <w:p w14:paraId="31FDD6EC" w14:textId="77777777" w:rsidR="004B603B" w:rsidRPr="00D723FF" w:rsidRDefault="004B603B" w:rsidP="00D723FF">
      <w:pPr>
        <w:spacing w:line="360" w:lineRule="auto"/>
        <w:jc w:val="both"/>
        <w:rPr>
          <w:lang w:val="nl-BE" w:eastAsia="en-US"/>
        </w:rPr>
      </w:pPr>
    </w:p>
    <w:p w14:paraId="3C18FEBD" w14:textId="77777777" w:rsidR="00292176" w:rsidRPr="00D723FF" w:rsidRDefault="00292176" w:rsidP="00D723FF">
      <w:pPr>
        <w:spacing w:line="360" w:lineRule="auto"/>
        <w:jc w:val="both"/>
        <w:rPr>
          <w:lang w:val="nl-BE" w:eastAsia="en-US"/>
        </w:rPr>
      </w:pPr>
    </w:p>
    <w:p w14:paraId="26BD2299" w14:textId="3F04B0C2" w:rsidR="00866178" w:rsidRPr="00D723FF" w:rsidRDefault="00866178" w:rsidP="00D723FF">
      <w:pPr>
        <w:spacing w:line="360" w:lineRule="auto"/>
        <w:jc w:val="both"/>
        <w:rPr>
          <w:lang w:val="nl-BE" w:eastAsia="en-US"/>
        </w:rPr>
      </w:pPr>
      <w:bookmarkStart w:id="8" w:name="_Toc230376183"/>
      <w:r w:rsidRPr="00D723FF">
        <w:rPr>
          <w:rStyle w:val="Kop1Char"/>
          <w:rFonts w:ascii="Times New Roman" w:hAnsi="Times New Roman" w:cs="Times New Roman"/>
          <w:lang w:val="en-US" w:eastAsia="en-US"/>
        </w:rPr>
        <w:lastRenderedPageBreak/>
        <w:t>Chapter 1. Genocide under International Law</w:t>
      </w:r>
      <w:bookmarkEnd w:id="8"/>
    </w:p>
    <w:p w14:paraId="69EF232D" w14:textId="46FE9414" w:rsidR="00615F30" w:rsidRPr="00D723FF" w:rsidRDefault="002D4970" w:rsidP="00D723FF">
      <w:pPr>
        <w:spacing w:line="360" w:lineRule="auto"/>
        <w:jc w:val="both"/>
        <w:rPr>
          <w:lang w:val="nl-BE"/>
        </w:rPr>
      </w:pPr>
      <w:r w:rsidRPr="00D723FF">
        <w:rPr>
          <w:rFonts w:eastAsiaTheme="minorHAnsi"/>
          <w:lang w:val="en-US" w:eastAsia="en-US"/>
        </w:rPr>
        <w:t xml:space="preserve">This chapter sets out the legal framework of genocide under </w:t>
      </w:r>
      <w:proofErr w:type="spellStart"/>
      <w:r w:rsidRPr="00D723FF">
        <w:rPr>
          <w:rFonts w:eastAsiaTheme="minorHAnsi"/>
          <w:lang w:val="en-US" w:eastAsia="en-US"/>
        </w:rPr>
        <w:t>nternational</w:t>
      </w:r>
      <w:proofErr w:type="spellEnd"/>
      <w:r w:rsidRPr="00D723FF">
        <w:rPr>
          <w:rFonts w:eastAsiaTheme="minorHAnsi"/>
          <w:lang w:val="en-US" w:eastAsia="en-US"/>
        </w:rPr>
        <w:t xml:space="preserve"> </w:t>
      </w:r>
      <w:r w:rsidR="00FF609C">
        <w:rPr>
          <w:rFonts w:eastAsiaTheme="minorHAnsi"/>
          <w:lang w:val="en-US" w:eastAsia="en-US"/>
        </w:rPr>
        <w:t>l</w:t>
      </w:r>
      <w:r w:rsidRPr="00D723FF">
        <w:rPr>
          <w:rFonts w:eastAsiaTheme="minorHAnsi"/>
          <w:lang w:val="en-US" w:eastAsia="en-US"/>
        </w:rPr>
        <w:t xml:space="preserve">aw. </w:t>
      </w:r>
      <w:proofErr w:type="spellStart"/>
      <w:r w:rsidR="00FF609C" w:rsidRPr="00FF609C">
        <w:t>Before</w:t>
      </w:r>
      <w:proofErr w:type="spellEnd"/>
      <w:r w:rsidR="00FF609C" w:rsidRPr="00FF609C">
        <w:t xml:space="preserve"> </w:t>
      </w:r>
      <w:proofErr w:type="spellStart"/>
      <w:r w:rsidR="00FF609C" w:rsidRPr="00FF609C">
        <w:t>assessing</w:t>
      </w:r>
      <w:proofErr w:type="spellEnd"/>
      <w:r w:rsidR="00FF609C" w:rsidRPr="00FF609C">
        <w:t xml:space="preserve"> </w:t>
      </w:r>
      <w:proofErr w:type="spellStart"/>
      <w:r w:rsidR="00FF609C" w:rsidRPr="00FF609C">
        <w:t>whether</w:t>
      </w:r>
      <w:proofErr w:type="spellEnd"/>
      <w:r w:rsidR="00FF609C" w:rsidRPr="00FF609C">
        <w:t> </w:t>
      </w:r>
      <w:r w:rsidR="00F55CB6" w:rsidRPr="00D723FF">
        <w:t xml:space="preserve"> </w:t>
      </w:r>
      <w:proofErr w:type="spellStart"/>
      <w:r w:rsidR="00F55CB6" w:rsidRPr="00D723FF">
        <w:t>whe</w:t>
      </w:r>
      <w:r w:rsidR="001B1900" w:rsidRPr="00D723FF">
        <w:t>n</w:t>
      </w:r>
      <w:proofErr w:type="spellEnd"/>
      <w:r w:rsidR="00F55CB6" w:rsidRPr="00D723FF">
        <w:t xml:space="preserve"> </w:t>
      </w:r>
      <w:proofErr w:type="spellStart"/>
      <w:r w:rsidR="00F55CB6" w:rsidRPr="00D723FF">
        <w:t>environmental</w:t>
      </w:r>
      <w:proofErr w:type="spellEnd"/>
      <w:r w:rsidR="00F55CB6" w:rsidRPr="00D723FF">
        <w:t xml:space="preserve"> destruction </w:t>
      </w:r>
      <w:proofErr w:type="spellStart"/>
      <w:r w:rsidR="00F55CB6" w:rsidRPr="00D723FF">
        <w:t>may</w:t>
      </w:r>
      <w:proofErr w:type="spellEnd"/>
      <w:r w:rsidR="00F55CB6" w:rsidRPr="00D723FF">
        <w:t xml:space="preserve"> </w:t>
      </w:r>
      <w:proofErr w:type="spellStart"/>
      <w:r w:rsidR="00F55CB6" w:rsidRPr="00D723FF">
        <w:t>fall</w:t>
      </w:r>
      <w:proofErr w:type="spellEnd"/>
      <w:r w:rsidR="00F55CB6" w:rsidRPr="00D723FF">
        <w:t xml:space="preserve"> </w:t>
      </w:r>
      <w:proofErr w:type="spellStart"/>
      <w:r w:rsidR="00F55CB6" w:rsidRPr="00D723FF">
        <w:t>within</w:t>
      </w:r>
      <w:proofErr w:type="spellEnd"/>
      <w:r w:rsidR="00F55CB6" w:rsidRPr="00D723FF">
        <w:t xml:space="preserve"> the scope of Article II(c) of the </w:t>
      </w:r>
      <w:proofErr w:type="spellStart"/>
      <w:r w:rsidR="00F55CB6" w:rsidRPr="00D723FF">
        <w:t>the</w:t>
      </w:r>
      <w:proofErr w:type="spellEnd"/>
      <w:r w:rsidR="00F55CB6" w:rsidRPr="00D723FF">
        <w:t xml:space="preserve"> </w:t>
      </w:r>
      <w:proofErr w:type="spellStart"/>
      <w:r w:rsidR="00F55CB6" w:rsidRPr="00D723FF">
        <w:t>Genocide</w:t>
      </w:r>
      <w:proofErr w:type="spellEnd"/>
      <w:r w:rsidR="00F55CB6" w:rsidRPr="00D723FF">
        <w:t xml:space="preserve"> Convention, </w:t>
      </w:r>
      <w:proofErr w:type="spellStart"/>
      <w:r w:rsidR="00F55CB6" w:rsidRPr="00D723FF">
        <w:t>it</w:t>
      </w:r>
      <w:proofErr w:type="spellEnd"/>
      <w:r w:rsidR="00F55CB6" w:rsidRPr="00D723FF">
        <w:t xml:space="preserve"> </w:t>
      </w:r>
      <w:proofErr w:type="spellStart"/>
      <w:r w:rsidR="00F55CB6" w:rsidRPr="00D723FF">
        <w:t>is</w:t>
      </w:r>
      <w:proofErr w:type="spellEnd"/>
      <w:r w:rsidR="00F55CB6" w:rsidRPr="00D723FF">
        <w:t xml:space="preserve"> first </w:t>
      </w:r>
      <w:proofErr w:type="spellStart"/>
      <w:r w:rsidR="00F55CB6" w:rsidRPr="00D723FF">
        <w:t>necessary</w:t>
      </w:r>
      <w:proofErr w:type="spellEnd"/>
      <w:r w:rsidR="00F55CB6" w:rsidRPr="00D723FF">
        <w:t xml:space="preserve"> to </w:t>
      </w:r>
      <w:proofErr w:type="spellStart"/>
      <w:r w:rsidR="00F55CB6" w:rsidRPr="00D723FF">
        <w:t>clarify</w:t>
      </w:r>
      <w:proofErr w:type="spellEnd"/>
      <w:r w:rsidR="00237260" w:rsidRPr="00D723FF">
        <w:t xml:space="preserve"> </w:t>
      </w:r>
      <w:proofErr w:type="spellStart"/>
      <w:r w:rsidR="00237260" w:rsidRPr="00D723FF">
        <w:t>what</w:t>
      </w:r>
      <w:proofErr w:type="spellEnd"/>
      <w:r w:rsidR="00237260" w:rsidRPr="00D723FF">
        <w:t xml:space="preserve"> </w:t>
      </w:r>
      <w:proofErr w:type="spellStart"/>
      <w:r w:rsidR="00237260" w:rsidRPr="00D723FF">
        <w:t>genocide</w:t>
      </w:r>
      <w:proofErr w:type="spellEnd"/>
      <w:r w:rsidR="00237260" w:rsidRPr="00D723FF">
        <w:t xml:space="preserve"> </w:t>
      </w:r>
      <w:proofErr w:type="spellStart"/>
      <w:r w:rsidR="00237260" w:rsidRPr="00D723FF">
        <w:t>is</w:t>
      </w:r>
      <w:proofErr w:type="spellEnd"/>
      <w:r w:rsidR="00237260" w:rsidRPr="00D723FF">
        <w:t xml:space="preserve"> and </w:t>
      </w:r>
      <w:proofErr w:type="spellStart"/>
      <w:r w:rsidR="00237260" w:rsidRPr="00D723FF">
        <w:t>its</w:t>
      </w:r>
      <w:proofErr w:type="spellEnd"/>
      <w:r w:rsidR="00F55CB6" w:rsidRPr="00D723FF">
        <w:t xml:space="preserve"> the constitutive </w:t>
      </w:r>
      <w:proofErr w:type="spellStart"/>
      <w:r w:rsidR="00F55CB6" w:rsidRPr="00D723FF">
        <w:t>elements</w:t>
      </w:r>
      <w:proofErr w:type="spellEnd"/>
      <w:r w:rsidR="00F55CB6" w:rsidRPr="00D723FF">
        <w:t xml:space="preserve"> and </w:t>
      </w:r>
      <w:proofErr w:type="spellStart"/>
      <w:r w:rsidR="00F55CB6" w:rsidRPr="00D723FF">
        <w:t>boundaries</w:t>
      </w:r>
      <w:proofErr w:type="spellEnd"/>
      <w:r w:rsidR="00F55CB6" w:rsidRPr="00D723FF">
        <w:t xml:space="preserve">. </w:t>
      </w:r>
      <w:r w:rsidR="00F55CB6" w:rsidRPr="00D723FF">
        <w:rPr>
          <w:lang w:val="nl-BE"/>
        </w:rPr>
        <w:t>The</w:t>
      </w:r>
      <w:r w:rsidR="00FF609C">
        <w:rPr>
          <w:lang w:val="nl-BE"/>
        </w:rPr>
        <w:t xml:space="preserve">refore, the </w:t>
      </w:r>
      <w:r w:rsidR="00F55CB6" w:rsidRPr="00D723FF">
        <w:rPr>
          <w:lang w:val="nl-BE"/>
        </w:rPr>
        <w:t>chapter raises an important preliminary question of this thesis: whether environmental destruction can, in principle, fall within the scope of Article II(c) of the Genocide Convention.</w:t>
      </w:r>
      <w:r w:rsidR="00237260" w:rsidRPr="00D723FF">
        <w:rPr>
          <w:lang w:val="nl-BE"/>
        </w:rPr>
        <w:tab/>
      </w:r>
      <w:r w:rsidR="00237260" w:rsidRPr="00D723FF">
        <w:rPr>
          <w:lang w:val="nl-BE"/>
        </w:rPr>
        <w:br/>
      </w:r>
    </w:p>
    <w:p w14:paraId="320F1D04" w14:textId="6CCF8CA1" w:rsidR="002D4970" w:rsidRPr="00D723FF" w:rsidRDefault="002D4970" w:rsidP="00D723FF">
      <w:pPr>
        <w:spacing w:line="360" w:lineRule="auto"/>
        <w:jc w:val="both"/>
        <w:rPr>
          <w:rFonts w:eastAsiaTheme="minorHAnsi"/>
          <w:lang w:val="en-US" w:eastAsia="en-US"/>
        </w:rPr>
      </w:pPr>
      <w:r w:rsidRPr="00D723FF">
        <w:rPr>
          <w:rFonts w:eastAsiaTheme="minorHAnsi"/>
          <w:lang w:val="en-US" w:eastAsia="en-US"/>
        </w:rPr>
        <w:t xml:space="preserve">To answer this, the chapter examines the </w:t>
      </w:r>
      <w:r w:rsidR="00FF609C">
        <w:rPr>
          <w:rFonts w:eastAsiaTheme="minorHAnsi"/>
          <w:lang w:val="en-US" w:eastAsia="en-US"/>
        </w:rPr>
        <w:t xml:space="preserve">historical </w:t>
      </w:r>
      <w:r w:rsidRPr="00D723FF">
        <w:rPr>
          <w:rFonts w:eastAsiaTheme="minorHAnsi"/>
          <w:lang w:val="en-US" w:eastAsia="en-US"/>
        </w:rPr>
        <w:t xml:space="preserve">development of the concept of genocide and its codification. It then outlines the core elements of the crime, including the </w:t>
      </w:r>
      <w:r w:rsidRPr="00D723FF">
        <w:rPr>
          <w:rFonts w:eastAsiaTheme="minorHAnsi"/>
          <w:i/>
          <w:iCs/>
          <w:lang w:val="en-US" w:eastAsia="en-US"/>
        </w:rPr>
        <w:t>actus reus</w:t>
      </w:r>
      <w:r w:rsidR="00876AAB" w:rsidRPr="00D723FF">
        <w:rPr>
          <w:rFonts w:eastAsiaTheme="minorHAnsi"/>
          <w:lang w:val="en-US" w:eastAsia="en-US"/>
        </w:rPr>
        <w:t xml:space="preserve"> (</w:t>
      </w:r>
      <w:r w:rsidR="00615F30" w:rsidRPr="00D723FF">
        <w:rPr>
          <w:rFonts w:eastAsiaTheme="minorHAnsi"/>
          <w:lang w:val="en-US" w:eastAsia="en-US"/>
        </w:rPr>
        <w:t xml:space="preserve">see </w:t>
      </w:r>
      <w:proofErr w:type="gramStart"/>
      <w:r w:rsidR="00876AAB" w:rsidRPr="00D723FF">
        <w:rPr>
          <w:rFonts w:eastAsiaTheme="minorHAnsi"/>
          <w:i/>
          <w:iCs/>
          <w:lang w:val="en-US" w:eastAsia="en-US"/>
        </w:rPr>
        <w:t>infra</w:t>
      </w:r>
      <w:r w:rsidR="00BB6E72" w:rsidRPr="00D723FF">
        <w:rPr>
          <w:rFonts w:eastAsiaTheme="minorHAnsi"/>
          <w:i/>
          <w:iCs/>
          <w:lang w:val="en-US" w:eastAsia="en-US"/>
        </w:rPr>
        <w:t xml:space="preserve"> </w:t>
      </w:r>
      <w:r w:rsidR="00BB6E72" w:rsidRPr="00D723FF">
        <w:rPr>
          <w:rFonts w:eastAsiaTheme="minorHAnsi"/>
          <w:lang w:val="en-US" w:eastAsia="en-US"/>
        </w:rPr>
        <w:t>Chapter</w:t>
      </w:r>
      <w:proofErr w:type="gramEnd"/>
      <w:r w:rsidR="00BB6E72" w:rsidRPr="00D723FF">
        <w:rPr>
          <w:rFonts w:eastAsiaTheme="minorHAnsi"/>
          <w:lang w:val="en-US" w:eastAsia="en-US"/>
        </w:rPr>
        <w:t xml:space="preserve"> 1.2.1.)</w:t>
      </w:r>
      <w:r w:rsidRPr="00D723FF">
        <w:rPr>
          <w:rFonts w:eastAsiaTheme="minorHAnsi"/>
          <w:lang w:val="en-US" w:eastAsia="en-US"/>
        </w:rPr>
        <w:t xml:space="preserve">, the requirement of </w:t>
      </w:r>
      <w:r w:rsidRPr="00D723FF">
        <w:rPr>
          <w:rFonts w:eastAsiaTheme="minorHAnsi"/>
          <w:i/>
          <w:iCs/>
          <w:lang w:val="en-US" w:eastAsia="en-US"/>
        </w:rPr>
        <w:t xml:space="preserve">dolus </w:t>
      </w:r>
      <w:proofErr w:type="spellStart"/>
      <w:r w:rsidRPr="00D723FF">
        <w:rPr>
          <w:rFonts w:eastAsiaTheme="minorHAnsi"/>
          <w:i/>
          <w:iCs/>
          <w:lang w:val="en-US" w:eastAsia="en-US"/>
        </w:rPr>
        <w:t>specialis</w:t>
      </w:r>
      <w:proofErr w:type="spellEnd"/>
      <w:r w:rsidR="00876AAB" w:rsidRPr="00D723FF">
        <w:rPr>
          <w:rFonts w:eastAsiaTheme="minorHAnsi"/>
          <w:lang w:val="en-US" w:eastAsia="en-US"/>
        </w:rPr>
        <w:t xml:space="preserve"> (</w:t>
      </w:r>
      <w:r w:rsidR="00615F30" w:rsidRPr="00D723FF">
        <w:rPr>
          <w:rFonts w:eastAsiaTheme="minorHAnsi"/>
          <w:lang w:val="en-US" w:eastAsia="en-US"/>
        </w:rPr>
        <w:t xml:space="preserve">see </w:t>
      </w:r>
      <w:proofErr w:type="gramStart"/>
      <w:r w:rsidR="00876AAB" w:rsidRPr="00D723FF">
        <w:rPr>
          <w:rFonts w:eastAsiaTheme="minorHAnsi"/>
          <w:i/>
          <w:iCs/>
          <w:lang w:val="en-US" w:eastAsia="en-US"/>
        </w:rPr>
        <w:t>infr</w:t>
      </w:r>
      <w:r w:rsidR="00BB6E72" w:rsidRPr="00D723FF">
        <w:rPr>
          <w:rFonts w:eastAsiaTheme="minorHAnsi"/>
          <w:i/>
          <w:iCs/>
          <w:lang w:val="en-US" w:eastAsia="en-US"/>
        </w:rPr>
        <w:t xml:space="preserve">a </w:t>
      </w:r>
      <w:r w:rsidR="00BB6E72" w:rsidRPr="00D723FF">
        <w:rPr>
          <w:rFonts w:eastAsiaTheme="minorHAnsi"/>
          <w:lang w:val="en-US" w:eastAsia="en-US"/>
        </w:rPr>
        <w:t>Chapter</w:t>
      </w:r>
      <w:proofErr w:type="gramEnd"/>
      <w:r w:rsidR="00BB6E72" w:rsidRPr="00D723FF">
        <w:rPr>
          <w:rFonts w:eastAsiaTheme="minorHAnsi"/>
          <w:lang w:val="en-US" w:eastAsia="en-US"/>
        </w:rPr>
        <w:t xml:space="preserve"> 1.2.1.</w:t>
      </w:r>
      <w:r w:rsidR="00876AAB" w:rsidRPr="00D723FF">
        <w:rPr>
          <w:rFonts w:eastAsiaTheme="minorHAnsi"/>
          <w:lang w:val="en-US" w:eastAsia="en-US"/>
        </w:rPr>
        <w:t>)</w:t>
      </w:r>
      <w:r w:rsidRPr="00D723FF">
        <w:rPr>
          <w:rFonts w:eastAsiaTheme="minorHAnsi"/>
          <w:lang w:val="en-US" w:eastAsia="en-US"/>
        </w:rPr>
        <w:t xml:space="preserve"> and the limitation to protected groups. These elements define the boundaries of genocide and form the basis for the analysis in the following chapter.</w:t>
      </w:r>
      <w:r w:rsidR="00BB6E72" w:rsidRPr="00D723FF">
        <w:rPr>
          <w:rFonts w:eastAsiaTheme="minorHAnsi"/>
          <w:lang w:val="en-US" w:eastAsia="en-US"/>
        </w:rPr>
        <w:tab/>
      </w:r>
      <w:r w:rsidRPr="00D723FF">
        <w:rPr>
          <w:rFonts w:eastAsiaTheme="minorHAnsi"/>
          <w:lang w:val="en-US" w:eastAsia="en-US"/>
        </w:rPr>
        <w:br/>
      </w:r>
    </w:p>
    <w:p w14:paraId="720AA5E5" w14:textId="106284AA" w:rsidR="00866178" w:rsidRPr="00D723FF" w:rsidRDefault="00866178" w:rsidP="00D723FF">
      <w:pPr>
        <w:pStyle w:val="Kop2"/>
        <w:spacing w:line="360" w:lineRule="auto"/>
        <w:rPr>
          <w:rFonts w:ascii="Times New Roman" w:hAnsi="Times New Roman" w:cs="Times New Roman"/>
          <w:lang w:val="en-US" w:eastAsia="en-US"/>
        </w:rPr>
      </w:pPr>
      <w:bookmarkStart w:id="9" w:name="_Toc230376184"/>
      <w:r w:rsidRPr="00D723FF">
        <w:rPr>
          <w:rFonts w:ascii="Times New Roman" w:eastAsiaTheme="minorHAnsi" w:hAnsi="Times New Roman" w:cs="Times New Roman"/>
          <w:lang w:val="en-US" w:eastAsia="en-US"/>
        </w:rPr>
        <w:t>1.1. The historical development of the concept of genocide</w:t>
      </w:r>
      <w:bookmarkEnd w:id="9"/>
    </w:p>
    <w:p w14:paraId="202BE918" w14:textId="315F03E1" w:rsidR="00866178" w:rsidRPr="00D723FF" w:rsidRDefault="00866178" w:rsidP="00D723FF">
      <w:pPr>
        <w:spacing w:before="100" w:beforeAutospacing="1" w:after="100" w:afterAutospacing="1" w:line="360" w:lineRule="auto"/>
        <w:jc w:val="both"/>
        <w:rPr>
          <w:sz w:val="28"/>
          <w:szCs w:val="28"/>
          <w:lang w:val="en-US" w:eastAsia="nl-NL"/>
        </w:rPr>
      </w:pPr>
      <w:r w:rsidRPr="00D723FF">
        <w:rPr>
          <w:lang w:val="en-US"/>
        </w:rPr>
        <w:t xml:space="preserve">The concept of genocide, as understood in contemporary </w:t>
      </w:r>
      <w:r w:rsidR="007851C7" w:rsidRPr="00D723FF">
        <w:rPr>
          <w:lang w:val="en-US"/>
        </w:rPr>
        <w:t>I</w:t>
      </w:r>
      <w:r w:rsidRPr="00D723FF">
        <w:rPr>
          <w:lang w:val="en-US"/>
        </w:rPr>
        <w:t xml:space="preserve">nternational </w:t>
      </w:r>
      <w:r w:rsidR="007851C7" w:rsidRPr="00D723FF">
        <w:rPr>
          <w:lang w:val="en-US"/>
        </w:rPr>
        <w:t>La</w:t>
      </w:r>
      <w:r w:rsidRPr="00D723FF">
        <w:rPr>
          <w:lang w:val="en-US"/>
        </w:rPr>
        <w:t>w, is the result of a gradual historical and legal evolution rather than a sudden doctrinal creation.</w:t>
      </w:r>
      <w:r w:rsidR="00033943" w:rsidRPr="00D723FF">
        <w:rPr>
          <w:rStyle w:val="Voetnootmarkering"/>
          <w:lang w:val="en-US"/>
        </w:rPr>
        <w:footnoteReference w:id="7"/>
      </w:r>
      <w:r w:rsidRPr="00D723FF">
        <w:rPr>
          <w:lang w:val="en-US"/>
        </w:rPr>
        <w:t xml:space="preserve"> Although the term itself was only coined in the twentieth century, </w:t>
      </w:r>
      <w:r w:rsidR="00BB6E72" w:rsidRPr="00D723FF">
        <w:rPr>
          <w:lang w:val="en-US"/>
        </w:rPr>
        <w:t>the intentional destruction of human groups has existed throughout history</w:t>
      </w:r>
      <w:r w:rsidRPr="00D723FF">
        <w:rPr>
          <w:lang w:val="en-US"/>
        </w:rPr>
        <w:t>.</w:t>
      </w:r>
      <w:r w:rsidRPr="00D723FF">
        <w:rPr>
          <w:rStyle w:val="Voetnootmarkering"/>
          <w:lang w:val="en-US"/>
        </w:rPr>
        <w:footnoteReference w:id="8"/>
      </w:r>
    </w:p>
    <w:p w14:paraId="4BCFC25B" w14:textId="698A71C8" w:rsidR="00866178" w:rsidRPr="00D723FF" w:rsidRDefault="00866178" w:rsidP="00D723FF">
      <w:pPr>
        <w:spacing w:before="100" w:beforeAutospacing="1" w:after="100" w:afterAutospacing="1" w:line="360" w:lineRule="auto"/>
        <w:jc w:val="both"/>
        <w:rPr>
          <w:lang w:val="en-US"/>
        </w:rPr>
      </w:pPr>
      <w:r w:rsidRPr="00D723FF">
        <w:rPr>
          <w:lang w:val="en-US" w:eastAsia="nl-NL"/>
        </w:rPr>
        <w:t>“The thing is as old as mankind,” wrote Jean-Paul Sartre about genocide.</w:t>
      </w:r>
      <w:r w:rsidRPr="00D723FF">
        <w:rPr>
          <w:rStyle w:val="Voetnootmarkering"/>
          <w:lang w:val="en-US" w:eastAsia="nl-NL"/>
        </w:rPr>
        <w:footnoteReference w:id="9"/>
      </w:r>
      <w:r w:rsidRPr="00D723FF">
        <w:rPr>
          <w:lang w:val="en-US" w:eastAsia="nl-NL"/>
        </w:rPr>
        <w:t xml:space="preserve"> While the legal prohibition of genocide emerged only in the twentieth century, the deliberate destruction of human groups long predates its codification in </w:t>
      </w:r>
      <w:r w:rsidR="00BB6E72" w:rsidRPr="00D723FF">
        <w:rPr>
          <w:lang w:val="en-US" w:eastAsia="nl-NL"/>
        </w:rPr>
        <w:t>i</w:t>
      </w:r>
      <w:r w:rsidRPr="00D723FF">
        <w:rPr>
          <w:lang w:val="en-US" w:eastAsia="nl-NL"/>
        </w:rPr>
        <w:t xml:space="preserve">nternational </w:t>
      </w:r>
      <w:r w:rsidR="00BB6E72" w:rsidRPr="00D723FF">
        <w:rPr>
          <w:lang w:val="en-US" w:eastAsia="nl-NL"/>
        </w:rPr>
        <w:t>l</w:t>
      </w:r>
      <w:r w:rsidRPr="00D723FF">
        <w:rPr>
          <w:lang w:val="en-US" w:eastAsia="nl-NL"/>
        </w:rPr>
        <w:t xml:space="preserve">aw. </w:t>
      </w:r>
      <w:r w:rsidR="001201AC" w:rsidRPr="00D723FF">
        <w:rPr>
          <w:lang w:val="en-US" w:eastAsia="nl-NL"/>
        </w:rPr>
        <w:t>Specific instances of colonial violence could be regarded as early manifestations of genocide</w:t>
      </w:r>
      <w:r w:rsidRPr="00D723FF">
        <w:rPr>
          <w:lang w:val="en-US" w:eastAsia="nl-NL"/>
        </w:rPr>
        <w:t>.</w:t>
      </w:r>
      <w:r w:rsidRPr="00D723FF">
        <w:rPr>
          <w:rStyle w:val="Voetnootmarkering"/>
          <w:lang w:val="en-US" w:eastAsia="nl-NL"/>
        </w:rPr>
        <w:footnoteReference w:id="10"/>
      </w:r>
      <w:r w:rsidRPr="00D723FF">
        <w:rPr>
          <w:lang w:val="en-US" w:eastAsia="nl-NL"/>
        </w:rPr>
        <w:t xml:space="preserve"> </w:t>
      </w:r>
      <w:r w:rsidR="00BB6E72" w:rsidRPr="00D723FF">
        <w:rPr>
          <w:lang w:val="en-US" w:eastAsia="nl-NL"/>
        </w:rPr>
        <w:tab/>
      </w:r>
      <w:r w:rsidR="00BB6E72" w:rsidRPr="00D723FF">
        <w:rPr>
          <w:lang w:val="en-US" w:eastAsia="nl-NL"/>
        </w:rPr>
        <w:br/>
      </w:r>
      <w:r w:rsidR="00BB6E72" w:rsidRPr="00D723FF">
        <w:rPr>
          <w:lang w:val="en-US" w:eastAsia="nl-NL"/>
        </w:rPr>
        <w:lastRenderedPageBreak/>
        <w:br/>
      </w:r>
      <w:r w:rsidRPr="00D723FF">
        <w:rPr>
          <w:lang w:val="en-US"/>
        </w:rPr>
        <w:t>Th</w:t>
      </w:r>
      <w:r w:rsidR="00BB6E72" w:rsidRPr="00D723FF">
        <w:rPr>
          <w:lang w:val="en-US"/>
        </w:rPr>
        <w:t>e</w:t>
      </w:r>
      <w:r w:rsidRPr="00D723FF">
        <w:rPr>
          <w:lang w:val="en-US"/>
        </w:rPr>
        <w:t xml:space="preserve"> term </w:t>
      </w:r>
      <w:r w:rsidR="003E0C90" w:rsidRPr="00D723FF">
        <w:rPr>
          <w:lang w:val="en-US"/>
        </w:rPr>
        <w:t>‘</w:t>
      </w:r>
      <w:r w:rsidRPr="00D723FF">
        <w:rPr>
          <w:lang w:val="en-US"/>
        </w:rPr>
        <w:t>genocide</w:t>
      </w:r>
      <w:r w:rsidR="003E0C90" w:rsidRPr="00D723FF">
        <w:rPr>
          <w:lang w:val="en-US"/>
        </w:rPr>
        <w:t>’</w:t>
      </w:r>
      <w:r w:rsidRPr="00D723FF">
        <w:rPr>
          <w:lang w:val="en-US"/>
        </w:rPr>
        <w:t xml:space="preserve"> was introduced by Raphael Lemkin in 1944, combining the Greek word </w:t>
      </w:r>
      <w:r w:rsidRPr="00D723FF">
        <w:rPr>
          <w:i/>
          <w:iCs/>
          <w:lang w:val="en-US"/>
        </w:rPr>
        <w:t>genos</w:t>
      </w:r>
      <w:r w:rsidRPr="00D723FF">
        <w:rPr>
          <w:lang w:val="en-US"/>
        </w:rPr>
        <w:t xml:space="preserve"> (race or tribe) and the Latin </w:t>
      </w:r>
      <w:r w:rsidRPr="00D723FF">
        <w:rPr>
          <w:i/>
          <w:iCs/>
          <w:lang w:val="en-US"/>
        </w:rPr>
        <w:t>suffix -</w:t>
      </w:r>
      <w:proofErr w:type="spellStart"/>
      <w:r w:rsidRPr="00D723FF">
        <w:rPr>
          <w:i/>
          <w:iCs/>
          <w:lang w:val="en-US"/>
        </w:rPr>
        <w:t>cide</w:t>
      </w:r>
      <w:proofErr w:type="spellEnd"/>
      <w:r w:rsidRPr="00D723FF">
        <w:rPr>
          <w:lang w:val="en-US"/>
        </w:rPr>
        <w:t xml:space="preserve"> (killing).</w:t>
      </w:r>
      <w:r w:rsidRPr="00D723FF">
        <w:rPr>
          <w:rStyle w:val="Voetnootmarkering"/>
          <w:lang w:val="en-US"/>
        </w:rPr>
        <w:footnoteReference w:id="11"/>
      </w:r>
      <w:r w:rsidRPr="00D723FF">
        <w:rPr>
          <w:lang w:val="en-US"/>
        </w:rPr>
        <w:t xml:space="preserve"> The crime of genocide per se was not prosecuted at Nuremberg. Acts that would come to be known as genocide were</w:t>
      </w:r>
      <w:r w:rsidR="003E0C90" w:rsidRPr="00D723FF">
        <w:rPr>
          <w:lang w:val="en-US"/>
        </w:rPr>
        <w:t xml:space="preserve"> rather</w:t>
      </w:r>
      <w:r w:rsidRPr="00D723FF">
        <w:rPr>
          <w:lang w:val="en-US"/>
        </w:rPr>
        <w:t xml:space="preserve"> prosecuted as the war crime of extermination and the crime against humanity of persecution.</w:t>
      </w:r>
      <w:r w:rsidRPr="00D723FF">
        <w:rPr>
          <w:rStyle w:val="Voetnootmarkering"/>
          <w:lang w:val="en-US"/>
        </w:rPr>
        <w:footnoteReference w:id="12"/>
      </w:r>
      <w:r w:rsidRPr="00D723FF">
        <w:rPr>
          <w:lang w:val="en-US"/>
        </w:rPr>
        <w:t xml:space="preserve"> </w:t>
      </w:r>
    </w:p>
    <w:p w14:paraId="6135961D" w14:textId="12DA48F0" w:rsidR="00866178" w:rsidRPr="00D723FF" w:rsidRDefault="00866178" w:rsidP="00D723FF">
      <w:pPr>
        <w:spacing w:before="100" w:beforeAutospacing="1" w:after="100" w:afterAutospacing="1" w:line="360" w:lineRule="auto"/>
        <w:jc w:val="both"/>
        <w:rPr>
          <w:lang w:val="en-US"/>
        </w:rPr>
      </w:pPr>
      <w:r w:rsidRPr="00D723FF">
        <w:rPr>
          <w:lang w:val="en-US"/>
        </w:rPr>
        <w:t>In 1946, the U</w:t>
      </w:r>
      <w:r w:rsidR="00BB6E72" w:rsidRPr="00D723FF">
        <w:rPr>
          <w:lang w:val="en-US"/>
        </w:rPr>
        <w:t xml:space="preserve">nited </w:t>
      </w:r>
      <w:r w:rsidRPr="00D723FF">
        <w:rPr>
          <w:lang w:val="en-US"/>
        </w:rPr>
        <w:t>N</w:t>
      </w:r>
      <w:r w:rsidR="00BB6E72" w:rsidRPr="00D723FF">
        <w:rPr>
          <w:lang w:val="en-US"/>
        </w:rPr>
        <w:t>ations</w:t>
      </w:r>
      <w:r w:rsidRPr="00D723FF">
        <w:rPr>
          <w:lang w:val="en-US"/>
        </w:rPr>
        <w:t xml:space="preserve"> General Assembly (</w:t>
      </w:r>
      <w:r w:rsidR="001201AC" w:rsidRPr="00D723FF">
        <w:rPr>
          <w:lang w:val="en-US"/>
        </w:rPr>
        <w:t xml:space="preserve">hereafter: </w:t>
      </w:r>
      <w:r w:rsidRPr="00D723FF">
        <w:rPr>
          <w:lang w:val="en-US"/>
        </w:rPr>
        <w:t xml:space="preserve">‘UNGA’) adopted a resolution affirming that “genocide is a crime under </w:t>
      </w:r>
      <w:r w:rsidR="00BB6E72" w:rsidRPr="00D723FF">
        <w:rPr>
          <w:lang w:val="en-US"/>
        </w:rPr>
        <w:t>i</w:t>
      </w:r>
      <w:r w:rsidRPr="00D723FF">
        <w:rPr>
          <w:lang w:val="en-US"/>
        </w:rPr>
        <w:t xml:space="preserve">nternational </w:t>
      </w:r>
      <w:r w:rsidR="00BB6E72" w:rsidRPr="00D723FF">
        <w:rPr>
          <w:lang w:val="en-US"/>
        </w:rPr>
        <w:t>l</w:t>
      </w:r>
      <w:r w:rsidRPr="00D723FF">
        <w:rPr>
          <w:lang w:val="en-US"/>
        </w:rPr>
        <w:t xml:space="preserve">aw which the civilized world condemns, and for the commission of which principals and accomplices - whether private individuals, public officials or statesmen, and whether the crime is committed on religious, racial, political or any other grounds - are punishable”. </w:t>
      </w:r>
      <w:r w:rsidRPr="00D723FF">
        <w:rPr>
          <w:rStyle w:val="Voetnootmarkering"/>
          <w:lang w:val="en-US"/>
        </w:rPr>
        <w:footnoteReference w:id="13"/>
      </w:r>
      <w:r w:rsidRPr="00D723FF">
        <w:rPr>
          <w:lang w:val="en-US"/>
        </w:rPr>
        <w:t xml:space="preserve"> </w:t>
      </w:r>
      <w:r w:rsidR="004B603B" w:rsidRPr="00D723FF">
        <w:rPr>
          <w:lang w:val="en-US" w:eastAsia="nl-NL"/>
        </w:rPr>
        <w:t xml:space="preserve">This </w:t>
      </w:r>
      <w:proofErr w:type="spellStart"/>
      <w:r w:rsidR="004B603B" w:rsidRPr="00D723FF">
        <w:rPr>
          <w:lang w:val="en-US" w:eastAsia="nl-NL"/>
        </w:rPr>
        <w:t>let</w:t>
      </w:r>
      <w:proofErr w:type="spellEnd"/>
      <w:r w:rsidR="004B603B" w:rsidRPr="00D723FF">
        <w:rPr>
          <w:lang w:val="en-US" w:eastAsia="nl-NL"/>
        </w:rPr>
        <w:t xml:space="preserve"> to</w:t>
      </w:r>
      <w:r w:rsidRPr="00D723FF">
        <w:rPr>
          <w:lang w:val="en-US" w:eastAsia="nl-NL"/>
        </w:rPr>
        <w:t xml:space="preserve"> the adoption of the 1948 Convention on the Prevention and Punishment of the Crime of Genocide (</w:t>
      </w:r>
      <w:proofErr w:type="spellStart"/>
      <w:proofErr w:type="gramStart"/>
      <w:r w:rsidR="00FF609C">
        <w:rPr>
          <w:lang w:val="en-US" w:eastAsia="nl-NL"/>
        </w:rPr>
        <w:t>hereafter:</w:t>
      </w:r>
      <w:r w:rsidRPr="00D723FF">
        <w:rPr>
          <w:lang w:val="en-US" w:eastAsia="nl-NL"/>
        </w:rPr>
        <w:t>‘</w:t>
      </w:r>
      <w:proofErr w:type="gramEnd"/>
      <w:r w:rsidRPr="00D723FF">
        <w:rPr>
          <w:lang w:val="en-US" w:eastAsia="nl-NL"/>
        </w:rPr>
        <w:t>Genocide</w:t>
      </w:r>
      <w:proofErr w:type="spellEnd"/>
      <w:r w:rsidRPr="00D723FF">
        <w:rPr>
          <w:lang w:val="en-US" w:eastAsia="nl-NL"/>
        </w:rPr>
        <w:t xml:space="preserve"> Convention’). This Convention </w:t>
      </w:r>
      <w:r w:rsidRPr="00D723FF">
        <w:rPr>
          <w:lang w:val="en-US"/>
        </w:rPr>
        <w:t>attempted to</w:t>
      </w:r>
      <w:r w:rsidR="00264DCD" w:rsidRPr="00D723FF">
        <w:rPr>
          <w:lang w:val="en-US"/>
        </w:rPr>
        <w:t xml:space="preserve"> </w:t>
      </w:r>
      <w:r w:rsidRPr="00D723FF">
        <w:rPr>
          <w:lang w:val="en-US"/>
        </w:rPr>
        <w:t>translate this historical reality into a legal framework</w:t>
      </w:r>
      <w:r w:rsidRPr="00D723FF">
        <w:rPr>
          <w:lang w:val="en-US" w:eastAsia="nl-NL"/>
        </w:rPr>
        <w:t>.</w:t>
      </w:r>
      <w:r w:rsidRPr="00D723FF">
        <w:rPr>
          <w:rStyle w:val="Voetnootmarkering"/>
          <w:lang w:val="en-US" w:eastAsia="en-US"/>
        </w:rPr>
        <w:footnoteReference w:id="14"/>
      </w:r>
      <w:r w:rsidRPr="00D723FF">
        <w:rPr>
          <w:lang w:val="en-US" w:eastAsia="nl-NL"/>
        </w:rPr>
        <w:t xml:space="preserve"> </w:t>
      </w:r>
      <w:r w:rsidR="001201AC" w:rsidRPr="00D723FF">
        <w:rPr>
          <w:lang w:val="en-US" w:eastAsia="nl-NL"/>
        </w:rPr>
        <w:t>The definition was later adopted within the framework of the Rome Statute</w:t>
      </w:r>
      <w:r w:rsidR="00692D04" w:rsidRPr="00D723FF">
        <w:rPr>
          <w:lang w:val="en-US" w:eastAsia="nl-NL"/>
        </w:rPr>
        <w:t>.</w:t>
      </w:r>
      <w:r w:rsidR="00692D04" w:rsidRPr="00D723FF">
        <w:rPr>
          <w:rStyle w:val="Voetnootmarkering"/>
          <w:lang w:val="en-US" w:eastAsia="nl-NL"/>
        </w:rPr>
        <w:footnoteReference w:id="15"/>
      </w:r>
      <w:r w:rsidR="00692D04" w:rsidRPr="00D723FF">
        <w:rPr>
          <w:lang w:val="en-US" w:eastAsia="nl-NL"/>
        </w:rPr>
        <w:t xml:space="preserve"> </w:t>
      </w:r>
      <w:r w:rsidR="002541CE" w:rsidRPr="00D723FF">
        <w:rPr>
          <w:lang w:val="en-US"/>
        </w:rPr>
        <w:tab/>
      </w:r>
      <w:r w:rsidR="009D181C" w:rsidRPr="00D723FF">
        <w:rPr>
          <w:lang w:val="en-US"/>
        </w:rPr>
        <w:br/>
      </w:r>
    </w:p>
    <w:p w14:paraId="53655452" w14:textId="6F35002D" w:rsidR="00DF07A0" w:rsidRPr="00D723FF" w:rsidRDefault="00DF07A0" w:rsidP="00D723FF">
      <w:pPr>
        <w:pStyle w:val="Kop2"/>
        <w:spacing w:line="360" w:lineRule="auto"/>
        <w:rPr>
          <w:rFonts w:ascii="Times New Roman" w:eastAsiaTheme="minorHAnsi" w:hAnsi="Times New Roman" w:cs="Times New Roman"/>
          <w:lang w:val="en-US" w:eastAsia="en-US"/>
        </w:rPr>
      </w:pPr>
      <w:bookmarkStart w:id="10" w:name="_Toc230376185"/>
      <w:r w:rsidRPr="00D723FF">
        <w:rPr>
          <w:rFonts w:ascii="Times New Roman" w:eastAsiaTheme="minorHAnsi" w:hAnsi="Times New Roman" w:cs="Times New Roman"/>
          <w:lang w:val="en-US" w:eastAsia="en-US"/>
        </w:rPr>
        <w:t>1.</w:t>
      </w:r>
      <w:r w:rsidRPr="00D723FF">
        <w:rPr>
          <w:rFonts w:ascii="Times New Roman" w:hAnsi="Times New Roman" w:cs="Times New Roman"/>
          <w:lang w:val="en-US"/>
        </w:rPr>
        <w:t>2</w:t>
      </w:r>
      <w:r w:rsidRPr="00D723FF">
        <w:rPr>
          <w:rFonts w:ascii="Times New Roman" w:eastAsiaTheme="minorHAnsi" w:hAnsi="Times New Roman" w:cs="Times New Roman"/>
          <w:lang w:val="en-US" w:eastAsia="en-US"/>
        </w:rPr>
        <w:t>. The Genocide Convention of 1948</w:t>
      </w:r>
      <w:bookmarkEnd w:id="10"/>
    </w:p>
    <w:p w14:paraId="57B4DBBB" w14:textId="4D4ED056" w:rsidR="00DF07A0" w:rsidRPr="00D723FF" w:rsidRDefault="00DF07A0" w:rsidP="00C7415B">
      <w:pPr>
        <w:pStyle w:val="Kop3"/>
        <w:spacing w:before="0" w:after="0" w:line="360" w:lineRule="auto"/>
        <w:rPr>
          <w:rStyle w:val="Nadruk"/>
          <w:rFonts w:cs="Times New Roman"/>
          <w:i/>
          <w:iCs w:val="0"/>
          <w:lang w:val="en-US"/>
        </w:rPr>
      </w:pPr>
      <w:bookmarkStart w:id="11" w:name="_Toc230376186"/>
      <w:r w:rsidRPr="00D723FF">
        <w:rPr>
          <w:rStyle w:val="Nadruk"/>
          <w:rFonts w:cs="Times New Roman"/>
          <w:i/>
          <w:iCs w:val="0"/>
          <w:lang w:val="en-US"/>
        </w:rPr>
        <w:t>1.2.</w:t>
      </w:r>
      <w:r w:rsidR="009F4BBC" w:rsidRPr="00D723FF">
        <w:rPr>
          <w:rStyle w:val="Nadruk"/>
          <w:rFonts w:cs="Times New Roman"/>
          <w:i/>
          <w:iCs w:val="0"/>
          <w:lang w:val="en-US"/>
        </w:rPr>
        <w:t>1</w:t>
      </w:r>
      <w:r w:rsidRPr="00D723FF">
        <w:rPr>
          <w:rStyle w:val="Nadruk"/>
          <w:rFonts w:cs="Times New Roman"/>
          <w:i/>
          <w:iCs w:val="0"/>
          <w:lang w:val="en-US"/>
        </w:rPr>
        <w:t xml:space="preserve">. Actus reus and </w:t>
      </w:r>
      <w:proofErr w:type="spellStart"/>
      <w:r w:rsidR="003E0C90" w:rsidRPr="00D723FF">
        <w:rPr>
          <w:rStyle w:val="Nadruk"/>
          <w:rFonts w:cs="Times New Roman"/>
          <w:i/>
          <w:iCs w:val="0"/>
          <w:lang w:val="en-US"/>
        </w:rPr>
        <w:t>mens</w:t>
      </w:r>
      <w:proofErr w:type="spellEnd"/>
      <w:r w:rsidR="003E0C90" w:rsidRPr="00D723FF">
        <w:rPr>
          <w:rStyle w:val="Nadruk"/>
          <w:rFonts w:cs="Times New Roman"/>
          <w:i/>
          <w:iCs w:val="0"/>
          <w:lang w:val="en-US"/>
        </w:rPr>
        <w:t xml:space="preserve"> rea</w:t>
      </w:r>
      <w:bookmarkEnd w:id="11"/>
    </w:p>
    <w:p w14:paraId="379EFAD6" w14:textId="58130A44" w:rsidR="00DF07A0" w:rsidRPr="00D723FF" w:rsidRDefault="00C25237" w:rsidP="00C7415B">
      <w:pPr>
        <w:spacing w:after="0" w:line="360" w:lineRule="auto"/>
        <w:jc w:val="both"/>
        <w:rPr>
          <w:lang w:val="en-US"/>
        </w:rPr>
      </w:pPr>
      <w:r w:rsidRPr="00D723FF">
        <w:rPr>
          <w:lang w:val="en-US"/>
        </w:rPr>
        <w:t xml:space="preserve">Genocide constitutes one of the </w:t>
      </w:r>
      <w:r w:rsidR="005E5C0C" w:rsidRPr="00D723FF">
        <w:rPr>
          <w:lang w:val="en-US"/>
        </w:rPr>
        <w:t>‘</w:t>
      </w:r>
      <w:r w:rsidRPr="00D723FF">
        <w:rPr>
          <w:lang w:val="en-US"/>
        </w:rPr>
        <w:t>core crimes</w:t>
      </w:r>
      <w:r w:rsidR="005E5C0C" w:rsidRPr="00D723FF">
        <w:rPr>
          <w:lang w:val="en-US"/>
        </w:rPr>
        <w:t>’</w:t>
      </w:r>
      <w:r w:rsidRPr="00D723FF">
        <w:rPr>
          <w:lang w:val="en-US"/>
        </w:rPr>
        <w:t xml:space="preserve"> under international criminal law, alongside crimes against humanity, war crimes, and the crime of aggression.</w:t>
      </w:r>
      <w:r w:rsidR="005E5C0C" w:rsidRPr="00D723FF">
        <w:rPr>
          <w:rStyle w:val="Voetnootmarkering"/>
          <w:lang w:val="en-US"/>
        </w:rPr>
        <w:footnoteReference w:id="16"/>
      </w:r>
      <w:r w:rsidRPr="00D723FF">
        <w:rPr>
          <w:lang w:val="en-US"/>
        </w:rPr>
        <w:t xml:space="preserve"> Unlike war crimes, genocide may </w:t>
      </w:r>
      <w:r w:rsidRPr="00D723FF">
        <w:rPr>
          <w:lang w:val="en-US"/>
        </w:rPr>
        <w:lastRenderedPageBreak/>
        <w:t xml:space="preserve">be committed </w:t>
      </w:r>
      <w:r w:rsidR="001201AC" w:rsidRPr="00D723FF">
        <w:rPr>
          <w:lang w:val="en-US"/>
        </w:rPr>
        <w:t>during</w:t>
      </w:r>
      <w:r w:rsidRPr="00D723FF">
        <w:rPr>
          <w:lang w:val="en-US"/>
        </w:rPr>
        <w:t xml:space="preserve"> </w:t>
      </w:r>
      <w:r w:rsidR="001201AC" w:rsidRPr="00D723FF">
        <w:rPr>
          <w:lang w:val="en-US"/>
        </w:rPr>
        <w:t>armed conflict</w:t>
      </w:r>
      <w:r w:rsidRPr="00D723FF">
        <w:rPr>
          <w:lang w:val="en-US"/>
        </w:rPr>
        <w:t xml:space="preserve"> and peace.</w:t>
      </w:r>
      <w:r w:rsidR="00F62A6A" w:rsidRPr="00D723FF">
        <w:rPr>
          <w:rStyle w:val="Voetnootmarkering"/>
          <w:lang w:val="en-US"/>
        </w:rPr>
        <w:footnoteReference w:id="17"/>
      </w:r>
      <w:r w:rsidRPr="00D723FF">
        <w:rPr>
          <w:lang w:val="en-US"/>
        </w:rPr>
        <w:t xml:space="preserve"> This is expressly reflected in Article I of the Genocide Convention.</w:t>
      </w:r>
      <w:r w:rsidR="00F62A6A" w:rsidRPr="00D723FF">
        <w:rPr>
          <w:rStyle w:val="Voetnootmarkering"/>
          <w:lang w:val="en-US"/>
        </w:rPr>
        <w:footnoteReference w:id="18"/>
      </w:r>
      <w:r w:rsidR="00F62A6A" w:rsidRPr="00D723FF">
        <w:rPr>
          <w:lang w:val="en-US"/>
        </w:rPr>
        <w:tab/>
      </w:r>
      <w:r w:rsidRPr="00D723FF">
        <w:rPr>
          <w:lang w:val="en-US"/>
        </w:rPr>
        <w:br/>
      </w:r>
      <w:r w:rsidRPr="00D723FF">
        <w:rPr>
          <w:lang w:val="en-US"/>
        </w:rPr>
        <w:br/>
      </w:r>
      <w:r w:rsidR="00DF07A0" w:rsidRPr="00D723FF">
        <w:rPr>
          <w:lang w:val="en-US"/>
        </w:rPr>
        <w:t>The Genocide Convention defines a series of acts (</w:t>
      </w:r>
      <w:r w:rsidR="00DF07A0" w:rsidRPr="00D723FF">
        <w:rPr>
          <w:i/>
          <w:iCs/>
          <w:lang w:val="en-US"/>
        </w:rPr>
        <w:t>actus reus</w:t>
      </w:r>
      <w:r w:rsidR="00DF07A0" w:rsidRPr="00D723FF">
        <w:rPr>
          <w:lang w:val="en-US"/>
        </w:rPr>
        <w:t>)</w:t>
      </w:r>
      <w:r w:rsidR="00DF07A0" w:rsidRPr="00D723FF">
        <w:rPr>
          <w:rStyle w:val="Voetnootmarkering"/>
          <w:lang w:val="en-US"/>
        </w:rPr>
        <w:footnoteReference w:id="19"/>
      </w:r>
      <w:r w:rsidR="00DF07A0" w:rsidRPr="00D723FF">
        <w:rPr>
          <w:lang w:val="en-US"/>
        </w:rPr>
        <w:t xml:space="preserve"> that are also reproduced in </w:t>
      </w:r>
      <w:r w:rsidR="00DF07A0" w:rsidRPr="00D723FF">
        <w:rPr>
          <w:lang w:val="en-US" w:eastAsia="nl-NL"/>
        </w:rPr>
        <w:t>the Rome Statute of the International Criminal Court (</w:t>
      </w:r>
      <w:r w:rsidR="00826E54">
        <w:rPr>
          <w:lang w:val="en-US" w:eastAsia="nl-NL"/>
        </w:rPr>
        <w:t xml:space="preserve">hereafter: </w:t>
      </w:r>
      <w:r w:rsidR="00DF07A0" w:rsidRPr="00D723FF">
        <w:rPr>
          <w:lang w:val="en-US" w:eastAsia="nl-NL"/>
        </w:rPr>
        <w:t>‘The Rome Statute’)</w:t>
      </w:r>
      <w:r w:rsidR="00DF07A0" w:rsidRPr="00D723FF">
        <w:rPr>
          <w:rStyle w:val="Voetnootmarkering"/>
          <w:lang w:val="en-US" w:eastAsia="nl-NL"/>
        </w:rPr>
        <w:footnoteReference w:id="20"/>
      </w:r>
      <w:r w:rsidR="00DF07A0" w:rsidRPr="00D723FF">
        <w:rPr>
          <w:lang w:val="en-US"/>
        </w:rPr>
        <w:t>: “</w:t>
      </w:r>
      <w:r w:rsidR="00DF07A0" w:rsidRPr="00D723FF">
        <w:rPr>
          <w:i/>
          <w:iCs/>
          <w:lang w:val="en-US"/>
        </w:rPr>
        <w:t>any of the following acts committed with intent to destroy, in whole or in part, a national, ethnical, racial or religious group, as such:</w:t>
      </w:r>
      <w:r w:rsidR="009D181C" w:rsidRPr="00D723FF">
        <w:rPr>
          <w:i/>
          <w:iCs/>
          <w:lang w:val="en-US"/>
        </w:rPr>
        <w:tab/>
      </w:r>
      <w:r w:rsidR="009D181C" w:rsidRPr="00D723FF">
        <w:rPr>
          <w:i/>
          <w:iCs/>
          <w:lang w:val="en-US"/>
        </w:rPr>
        <w:br/>
      </w:r>
      <w:r w:rsidR="00DF07A0" w:rsidRPr="00D723FF">
        <w:rPr>
          <w:i/>
          <w:iCs/>
          <w:lang w:val="en-US"/>
        </w:rPr>
        <w:tab/>
      </w:r>
      <w:r w:rsidR="00DF07A0" w:rsidRPr="00D723FF">
        <w:rPr>
          <w:i/>
          <w:iCs/>
          <w:lang w:val="en-US"/>
        </w:rPr>
        <w:br/>
        <w:t xml:space="preserve">(a) Killing members of the group; </w:t>
      </w:r>
      <w:r w:rsidR="00DF07A0" w:rsidRPr="00D723FF">
        <w:rPr>
          <w:i/>
          <w:iCs/>
          <w:lang w:val="en-US"/>
        </w:rPr>
        <w:tab/>
      </w:r>
      <w:r w:rsidR="00DF07A0" w:rsidRPr="00D723FF">
        <w:rPr>
          <w:i/>
          <w:iCs/>
          <w:lang w:val="en-US"/>
        </w:rPr>
        <w:br/>
        <w:t>(b) Causing serious bodily or mental harm to members of the group;</w:t>
      </w:r>
      <w:r w:rsidR="00DF07A0" w:rsidRPr="00D723FF">
        <w:rPr>
          <w:i/>
          <w:iCs/>
          <w:lang w:val="en-US"/>
        </w:rPr>
        <w:tab/>
      </w:r>
      <w:r w:rsidR="00DF07A0" w:rsidRPr="00D723FF">
        <w:rPr>
          <w:lang w:val="en-US" w:eastAsia="nl-NL"/>
        </w:rPr>
        <w:br/>
      </w:r>
      <w:r w:rsidR="00DF07A0" w:rsidRPr="00D723FF">
        <w:rPr>
          <w:i/>
          <w:iCs/>
          <w:lang w:val="en-US"/>
        </w:rPr>
        <w:t xml:space="preserve">(c) Deliberately inflicting on the group conditions of life calculated to bring about its physical destruction in whole or in part; </w:t>
      </w:r>
      <w:r w:rsidR="00DF07A0" w:rsidRPr="00D723FF">
        <w:rPr>
          <w:i/>
          <w:iCs/>
          <w:lang w:val="en-US"/>
        </w:rPr>
        <w:tab/>
      </w:r>
      <w:r w:rsidR="00DF07A0" w:rsidRPr="00D723FF">
        <w:rPr>
          <w:lang w:val="en-US" w:eastAsia="nl-NL"/>
        </w:rPr>
        <w:br/>
      </w:r>
      <w:r w:rsidR="00DF07A0" w:rsidRPr="00D723FF">
        <w:rPr>
          <w:i/>
          <w:iCs/>
          <w:lang w:val="en-US"/>
        </w:rPr>
        <w:t xml:space="preserve">(d) Imposing measures intended to prevent births within the group; </w:t>
      </w:r>
      <w:r w:rsidR="00DF07A0" w:rsidRPr="00D723FF">
        <w:rPr>
          <w:i/>
          <w:iCs/>
          <w:lang w:val="en-US"/>
        </w:rPr>
        <w:tab/>
      </w:r>
      <w:r w:rsidR="00DF07A0" w:rsidRPr="00D723FF">
        <w:rPr>
          <w:lang w:val="en-US" w:eastAsia="nl-NL"/>
        </w:rPr>
        <w:br/>
      </w:r>
      <w:r w:rsidR="00DF07A0" w:rsidRPr="00D723FF">
        <w:rPr>
          <w:i/>
          <w:iCs/>
          <w:lang w:val="en-US"/>
        </w:rPr>
        <w:t>(e) Forcibly transferring children of the group to another group.</w:t>
      </w:r>
      <w:r w:rsidR="00DF07A0" w:rsidRPr="00D723FF">
        <w:rPr>
          <w:lang w:val="en-US"/>
        </w:rPr>
        <w:t>”</w:t>
      </w:r>
      <w:r w:rsidR="00DF07A0" w:rsidRPr="00D723FF">
        <w:rPr>
          <w:rStyle w:val="Voetnootmarkering"/>
          <w:lang w:val="en-US"/>
        </w:rPr>
        <w:footnoteReference w:id="21"/>
      </w:r>
      <w:r w:rsidR="00DF07A0" w:rsidRPr="00D723FF">
        <w:rPr>
          <w:lang w:val="en-US"/>
        </w:rPr>
        <w:tab/>
      </w:r>
      <w:r w:rsidR="00237260" w:rsidRPr="00D723FF">
        <w:rPr>
          <w:lang w:val="en-US"/>
        </w:rPr>
        <w:br/>
      </w:r>
    </w:p>
    <w:p w14:paraId="21789BBA" w14:textId="1C87D72C" w:rsidR="009F4BBC" w:rsidRPr="00D723FF" w:rsidRDefault="001E4B83" w:rsidP="00D723FF">
      <w:pPr>
        <w:pStyle w:val="Plattetekst"/>
        <w:spacing w:before="94" w:line="360" w:lineRule="auto"/>
        <w:ind w:left="23" w:right="137"/>
        <w:jc w:val="both"/>
      </w:pPr>
      <w:r w:rsidRPr="00D723FF">
        <w:t>It</w:t>
      </w:r>
      <w:r w:rsidR="009F4BBC" w:rsidRPr="00D723FF">
        <w:rPr>
          <w:spacing w:val="-5"/>
        </w:rPr>
        <w:t xml:space="preserve"> </w:t>
      </w:r>
      <w:r w:rsidR="009F4BBC" w:rsidRPr="00D723FF">
        <w:t>recognizes</w:t>
      </w:r>
      <w:r w:rsidR="009F4BBC" w:rsidRPr="00D723FF">
        <w:rPr>
          <w:spacing w:val="-5"/>
        </w:rPr>
        <w:t xml:space="preserve"> </w:t>
      </w:r>
      <w:r w:rsidR="009F4BBC" w:rsidRPr="00D723FF">
        <w:t>that</w:t>
      </w:r>
      <w:r w:rsidR="009F4BBC" w:rsidRPr="00D723FF">
        <w:rPr>
          <w:spacing w:val="-5"/>
        </w:rPr>
        <w:t xml:space="preserve"> </w:t>
      </w:r>
      <w:r w:rsidR="009F4BBC" w:rsidRPr="00D723FF">
        <w:t>genocide</w:t>
      </w:r>
      <w:r w:rsidR="009F4BBC" w:rsidRPr="00D723FF">
        <w:rPr>
          <w:spacing w:val="-5"/>
        </w:rPr>
        <w:t xml:space="preserve"> </w:t>
      </w:r>
      <w:r w:rsidR="009F4BBC" w:rsidRPr="00D723FF">
        <w:t>may</w:t>
      </w:r>
      <w:r w:rsidR="009F4BBC" w:rsidRPr="00D723FF">
        <w:rPr>
          <w:spacing w:val="-5"/>
        </w:rPr>
        <w:t xml:space="preserve"> </w:t>
      </w:r>
      <w:r w:rsidR="009F4BBC" w:rsidRPr="00D723FF">
        <w:t>be</w:t>
      </w:r>
      <w:r w:rsidR="009F4BBC" w:rsidRPr="00D723FF">
        <w:rPr>
          <w:spacing w:val="-5"/>
        </w:rPr>
        <w:t xml:space="preserve"> </w:t>
      </w:r>
      <w:r w:rsidR="009F4BBC" w:rsidRPr="00D723FF">
        <w:t>committed</w:t>
      </w:r>
      <w:r w:rsidR="009F4BBC" w:rsidRPr="00D723FF">
        <w:rPr>
          <w:spacing w:val="-5"/>
        </w:rPr>
        <w:t xml:space="preserve"> </w:t>
      </w:r>
      <w:r w:rsidR="009F4BBC" w:rsidRPr="00D723FF">
        <w:t>not</w:t>
      </w:r>
      <w:r w:rsidR="009F4BBC" w:rsidRPr="00D723FF">
        <w:rPr>
          <w:spacing w:val="-5"/>
        </w:rPr>
        <w:t xml:space="preserve"> </w:t>
      </w:r>
      <w:r w:rsidR="009F4BBC" w:rsidRPr="00D723FF">
        <w:t>only</w:t>
      </w:r>
      <w:r w:rsidR="009F4BBC" w:rsidRPr="00D723FF">
        <w:rPr>
          <w:spacing w:val="-5"/>
        </w:rPr>
        <w:t xml:space="preserve"> </w:t>
      </w:r>
      <w:r w:rsidR="009F4BBC" w:rsidRPr="00D723FF">
        <w:t>through</w:t>
      </w:r>
      <w:r w:rsidR="009F4BBC" w:rsidRPr="00D723FF">
        <w:rPr>
          <w:spacing w:val="-5"/>
        </w:rPr>
        <w:t xml:space="preserve"> </w:t>
      </w:r>
      <w:r w:rsidR="009F4BBC" w:rsidRPr="00D723FF">
        <w:t>direct killing but also through the infliction of conditions of life that undermine a group’s ability to survive.</w:t>
      </w:r>
      <w:r w:rsidR="00143EC0" w:rsidRPr="00D723FF">
        <w:rPr>
          <w:rStyle w:val="Voetnootmarkering"/>
        </w:rPr>
        <w:footnoteReference w:id="22"/>
      </w:r>
      <w:r w:rsidR="009F4BBC" w:rsidRPr="00D723FF">
        <w:rPr>
          <w:spacing w:val="-15"/>
        </w:rPr>
        <w:t xml:space="preserve"> </w:t>
      </w:r>
      <w:r w:rsidR="00013D57">
        <w:t>Nevertheless,</w:t>
      </w:r>
      <w:r w:rsidR="009F4BBC" w:rsidRPr="00D723FF">
        <w:rPr>
          <w:spacing w:val="-15"/>
        </w:rPr>
        <w:t xml:space="preserve"> </w:t>
      </w:r>
      <w:r w:rsidR="009F4BBC" w:rsidRPr="00D723FF">
        <w:t>the</w:t>
      </w:r>
      <w:r w:rsidR="009F4BBC" w:rsidRPr="00D723FF">
        <w:rPr>
          <w:spacing w:val="-15"/>
        </w:rPr>
        <w:t xml:space="preserve"> </w:t>
      </w:r>
      <w:r w:rsidR="009F4BBC" w:rsidRPr="00D723FF">
        <w:t>Genocide</w:t>
      </w:r>
      <w:r w:rsidR="009F4BBC" w:rsidRPr="00D723FF">
        <w:rPr>
          <w:spacing w:val="-15"/>
        </w:rPr>
        <w:t xml:space="preserve"> </w:t>
      </w:r>
      <w:r w:rsidR="009F4BBC" w:rsidRPr="00D723FF">
        <w:t>Convention</w:t>
      </w:r>
      <w:r w:rsidR="009F4BBC" w:rsidRPr="00D723FF">
        <w:rPr>
          <w:spacing w:val="-15"/>
        </w:rPr>
        <w:t xml:space="preserve"> </w:t>
      </w:r>
      <w:r w:rsidR="009F4BBC" w:rsidRPr="00D723FF">
        <w:t>does</w:t>
      </w:r>
      <w:r w:rsidR="009F4BBC" w:rsidRPr="00D723FF">
        <w:rPr>
          <w:spacing w:val="-15"/>
        </w:rPr>
        <w:t xml:space="preserve"> </w:t>
      </w:r>
      <w:r w:rsidR="009F4BBC" w:rsidRPr="00D723FF">
        <w:t>not</w:t>
      </w:r>
      <w:r w:rsidR="009F4BBC" w:rsidRPr="00D723FF">
        <w:rPr>
          <w:spacing w:val="-15"/>
        </w:rPr>
        <w:t xml:space="preserve"> </w:t>
      </w:r>
      <w:r w:rsidR="009F4BBC" w:rsidRPr="00D723FF">
        <w:t>define</w:t>
      </w:r>
      <w:r w:rsidR="009F4BBC" w:rsidRPr="00D723FF">
        <w:rPr>
          <w:spacing w:val="-15"/>
        </w:rPr>
        <w:t xml:space="preserve"> </w:t>
      </w:r>
      <w:r w:rsidR="009F4BBC" w:rsidRPr="00D723FF">
        <w:t>what</w:t>
      </w:r>
      <w:r w:rsidR="009F4BBC" w:rsidRPr="00D723FF">
        <w:rPr>
          <w:spacing w:val="-15"/>
        </w:rPr>
        <w:t xml:space="preserve"> </w:t>
      </w:r>
      <w:r w:rsidR="009F4BBC" w:rsidRPr="00D723FF">
        <w:t>constitutes</w:t>
      </w:r>
      <w:r w:rsidR="009F4BBC" w:rsidRPr="00D723FF">
        <w:rPr>
          <w:spacing w:val="-15"/>
        </w:rPr>
        <w:t xml:space="preserve"> </w:t>
      </w:r>
      <w:r w:rsidR="003D3A6C" w:rsidRPr="00D723FF">
        <w:t>‘</w:t>
      </w:r>
      <w:r w:rsidR="00CF28A6" w:rsidRPr="00D723FF">
        <w:t>conditions of life</w:t>
      </w:r>
      <w:r w:rsidR="003D3A6C" w:rsidRPr="00D723FF">
        <w:t>’</w:t>
      </w:r>
      <w:r w:rsidR="00CF28A6" w:rsidRPr="00D723FF">
        <w:t xml:space="preserve"> or </w:t>
      </w:r>
      <w:r w:rsidR="003D3A6C" w:rsidRPr="00D723FF">
        <w:t>‘</w:t>
      </w:r>
      <w:r w:rsidR="009F4BBC" w:rsidRPr="00D723FF">
        <w:t>physical</w:t>
      </w:r>
      <w:r w:rsidR="00CF28A6" w:rsidRPr="00D723FF">
        <w:t xml:space="preserve"> destruction</w:t>
      </w:r>
      <w:r w:rsidR="003D3A6C" w:rsidRPr="00D723FF">
        <w:t>’</w:t>
      </w:r>
      <w:r w:rsidR="00CF28A6" w:rsidRPr="00D723FF">
        <w:t>, nor does it specify the threshold at which indirect harm amounts to genocidal destruction.</w:t>
      </w:r>
      <w:r w:rsidR="006F2C64" w:rsidRPr="00D723FF">
        <w:tab/>
      </w:r>
      <w:r w:rsidR="006F2C64" w:rsidRPr="00D723FF">
        <w:br/>
      </w:r>
    </w:p>
    <w:p w14:paraId="34FF2F30" w14:textId="26A5E579" w:rsidR="00E80C47" w:rsidRPr="00D723FF" w:rsidRDefault="008736D8" w:rsidP="00D723FF">
      <w:pPr>
        <w:pStyle w:val="Normaalweb"/>
        <w:spacing w:line="360" w:lineRule="auto"/>
        <w:jc w:val="both"/>
        <w:rPr>
          <w:rFonts w:eastAsia="Times New Roman" w:cs="Times New Roman"/>
          <w:szCs w:val="24"/>
          <w:lang w:val="en-US" w:eastAsia="nl-NL"/>
        </w:rPr>
      </w:pPr>
      <w:r w:rsidRPr="00D723FF">
        <w:rPr>
          <w:rFonts w:cs="Times New Roman"/>
          <w:lang w:val="en-US"/>
        </w:rPr>
        <w:lastRenderedPageBreak/>
        <w:t>However</w:t>
      </w:r>
      <w:r w:rsidR="004C40CE" w:rsidRPr="00D723FF">
        <w:rPr>
          <w:rFonts w:cs="Times New Roman"/>
          <w:lang w:val="en-US"/>
        </w:rPr>
        <w:t>,</w:t>
      </w:r>
      <w:r w:rsidRPr="00D723FF">
        <w:rPr>
          <w:rFonts w:cs="Times New Roman"/>
          <w:lang w:val="en-US"/>
        </w:rPr>
        <w:t xml:space="preserve"> international jurisprudence clarifies some bound</w:t>
      </w:r>
      <w:r w:rsidR="002B2746" w:rsidRPr="00D723FF">
        <w:rPr>
          <w:rFonts w:cs="Times New Roman"/>
          <w:lang w:val="en-US"/>
        </w:rPr>
        <w:t>a</w:t>
      </w:r>
      <w:r w:rsidRPr="00D723FF">
        <w:rPr>
          <w:rFonts w:cs="Times New Roman"/>
          <w:lang w:val="en-US"/>
        </w:rPr>
        <w:t>ries and interpretations of this provision</w:t>
      </w:r>
      <w:r w:rsidR="001E4B83" w:rsidRPr="00D723FF">
        <w:rPr>
          <w:rFonts w:cs="Times New Roman"/>
          <w:lang w:val="en-US"/>
        </w:rPr>
        <w:t xml:space="preserve">. </w:t>
      </w:r>
      <w:r w:rsidR="008A6258" w:rsidRPr="00D723FF">
        <w:rPr>
          <w:rFonts w:cs="Times New Roman"/>
          <w:lang w:val="en-US"/>
        </w:rPr>
        <w:t xml:space="preserve">It has been established in </w:t>
      </w:r>
      <w:proofErr w:type="spellStart"/>
      <w:r w:rsidR="008A6258" w:rsidRPr="00D723FF">
        <w:rPr>
          <w:rFonts w:cs="Times New Roman"/>
          <w:i/>
          <w:iCs/>
          <w:lang w:val="en-US"/>
        </w:rPr>
        <w:t>Akayesu</w:t>
      </w:r>
      <w:proofErr w:type="spellEnd"/>
      <w:r w:rsidR="008A6258" w:rsidRPr="00D723FF">
        <w:rPr>
          <w:rFonts w:cs="Times New Roman"/>
          <w:i/>
          <w:iCs/>
          <w:lang w:val="en-US"/>
        </w:rPr>
        <w:t xml:space="preserve"> </w:t>
      </w:r>
      <w:r w:rsidR="008A6258" w:rsidRPr="00D723FF">
        <w:rPr>
          <w:rFonts w:cs="Times New Roman"/>
          <w:lang w:val="en-US"/>
        </w:rPr>
        <w:t xml:space="preserve">and in </w:t>
      </w:r>
      <w:r w:rsidR="008A6258" w:rsidRPr="00D723FF">
        <w:rPr>
          <w:rFonts w:cs="Times New Roman"/>
          <w:i/>
          <w:iCs/>
          <w:lang w:val="fr-BE"/>
        </w:rPr>
        <w:t xml:space="preserve">Application of the Convention on the Prevention and </w:t>
      </w:r>
      <w:proofErr w:type="spellStart"/>
      <w:r w:rsidR="008A6258" w:rsidRPr="00D723FF">
        <w:rPr>
          <w:rFonts w:cs="Times New Roman"/>
          <w:i/>
          <w:iCs/>
          <w:lang w:val="fr-BE"/>
        </w:rPr>
        <w:t>Punishment</w:t>
      </w:r>
      <w:proofErr w:type="spellEnd"/>
      <w:r w:rsidR="008A6258" w:rsidRPr="00D723FF">
        <w:rPr>
          <w:rFonts w:cs="Times New Roman"/>
          <w:i/>
          <w:iCs/>
          <w:lang w:val="fr-BE"/>
        </w:rPr>
        <w:t xml:space="preserve"> of the Crime of </w:t>
      </w:r>
      <w:proofErr w:type="spellStart"/>
      <w:r w:rsidR="008A6258" w:rsidRPr="00D723FF">
        <w:rPr>
          <w:rFonts w:cs="Times New Roman"/>
          <w:i/>
          <w:iCs/>
          <w:lang w:val="fr-BE"/>
        </w:rPr>
        <w:t>Genocide</w:t>
      </w:r>
      <w:proofErr w:type="spellEnd"/>
      <w:r w:rsidR="008A6258" w:rsidRPr="00D723FF">
        <w:rPr>
          <w:rFonts w:cs="Times New Roman"/>
          <w:i/>
          <w:iCs/>
          <w:lang w:val="fr-BE"/>
        </w:rPr>
        <w:t xml:space="preserve"> (</w:t>
      </w:r>
      <w:proofErr w:type="spellStart"/>
      <w:r w:rsidR="008A6258" w:rsidRPr="00D723FF">
        <w:rPr>
          <w:rFonts w:cs="Times New Roman"/>
          <w:i/>
          <w:iCs/>
          <w:lang w:val="fr-BE"/>
        </w:rPr>
        <w:t>Croatia</w:t>
      </w:r>
      <w:proofErr w:type="spellEnd"/>
      <w:r w:rsidR="008A6258" w:rsidRPr="00D723FF">
        <w:rPr>
          <w:rFonts w:cs="Times New Roman"/>
          <w:i/>
          <w:iCs/>
          <w:lang w:val="fr-BE"/>
        </w:rPr>
        <w:t xml:space="preserve"> v. Serbia) </w:t>
      </w:r>
      <w:proofErr w:type="spellStart"/>
      <w:r w:rsidR="008A6258" w:rsidRPr="00D723FF">
        <w:rPr>
          <w:rFonts w:cs="Times New Roman"/>
          <w:lang w:val="fr-BE"/>
        </w:rPr>
        <w:t>that</w:t>
      </w:r>
      <w:proofErr w:type="spellEnd"/>
      <w:r w:rsidR="008A6258" w:rsidRPr="00D723FF">
        <w:rPr>
          <w:rFonts w:cs="Times New Roman"/>
          <w:lang w:val="fr-BE"/>
        </w:rPr>
        <w:t xml:space="preserve"> </w:t>
      </w:r>
      <w:r w:rsidR="008A6258" w:rsidRPr="00D723FF">
        <w:rPr>
          <w:rFonts w:cs="Times New Roman"/>
          <w:lang w:val="en-US"/>
        </w:rPr>
        <w:t>Article</w:t>
      </w:r>
      <w:r w:rsidRPr="00D723FF">
        <w:rPr>
          <w:rFonts w:cs="Times New Roman"/>
          <w:lang w:val="en-US"/>
        </w:rPr>
        <w:t xml:space="preserve"> II(c) concerns indirect methods of destruction, whereby death is not immediate but results from sustained conditions incompatible with survival.</w:t>
      </w:r>
      <w:r w:rsidRPr="00D723FF">
        <w:rPr>
          <w:rStyle w:val="Voetnootmarkering"/>
          <w:rFonts w:cs="Times New Roman"/>
          <w:lang w:val="en-US"/>
        </w:rPr>
        <w:footnoteReference w:id="23"/>
      </w:r>
      <w:r w:rsidR="00B7463F" w:rsidRPr="00D723FF">
        <w:rPr>
          <w:rFonts w:cs="Times New Roman"/>
          <w:lang w:val="en-US"/>
        </w:rPr>
        <w:t xml:space="preserve"> </w:t>
      </w:r>
      <w:r w:rsidR="00BD3E6B" w:rsidRPr="00D723FF">
        <w:rPr>
          <w:rFonts w:cs="Times New Roman"/>
          <w:lang w:val="en-US"/>
        </w:rPr>
        <w:t xml:space="preserve">This </w:t>
      </w:r>
      <w:r w:rsidR="001E4B83" w:rsidRPr="00D723FF">
        <w:rPr>
          <w:rFonts w:cs="Times New Roman"/>
          <w:lang w:val="en-US"/>
        </w:rPr>
        <w:t xml:space="preserve">is </w:t>
      </w:r>
      <w:r w:rsidR="00013D57">
        <w:rPr>
          <w:rFonts w:cs="Times New Roman"/>
          <w:lang w:val="en-US"/>
        </w:rPr>
        <w:t xml:space="preserve">particularly </w:t>
      </w:r>
      <w:r w:rsidR="001E4B83" w:rsidRPr="00D723FF">
        <w:rPr>
          <w:rFonts w:cs="Times New Roman"/>
          <w:lang w:val="en-US"/>
        </w:rPr>
        <w:t xml:space="preserve">important </w:t>
      </w:r>
      <w:r w:rsidR="00BD3E6B" w:rsidRPr="00D723FF">
        <w:rPr>
          <w:rFonts w:cs="Times New Roman"/>
          <w:lang w:val="en-US"/>
        </w:rPr>
        <w:t>in the context of environmental destruction, where harm is often cumulative and indirect, making it difficult to determine when environmental deprivation crosses the threshold of physical destruction under Article II(c)</w:t>
      </w:r>
      <w:r w:rsidR="001E4B83" w:rsidRPr="00D723FF">
        <w:rPr>
          <w:rFonts w:cs="Times New Roman"/>
          <w:lang w:val="en-US"/>
        </w:rPr>
        <w:t xml:space="preserve"> (see </w:t>
      </w:r>
      <w:r w:rsidR="001E4B83" w:rsidRPr="00D723FF">
        <w:rPr>
          <w:rFonts w:cs="Times New Roman"/>
          <w:i/>
          <w:iCs/>
          <w:lang w:val="en-US"/>
        </w:rPr>
        <w:t xml:space="preserve">infra </w:t>
      </w:r>
      <w:r w:rsidR="001E4B83" w:rsidRPr="00D723FF">
        <w:rPr>
          <w:rFonts w:cs="Times New Roman"/>
          <w:lang w:val="en-US"/>
        </w:rPr>
        <w:t>Chapter 3.)</w:t>
      </w:r>
      <w:r w:rsidR="00BD3E6B" w:rsidRPr="00D723FF">
        <w:rPr>
          <w:rFonts w:cs="Times New Roman"/>
          <w:lang w:val="en-US"/>
        </w:rPr>
        <w:t>.</w:t>
      </w:r>
      <w:r w:rsidR="00BD3E6B" w:rsidRPr="00D723FF">
        <w:rPr>
          <w:rStyle w:val="Voetnootmarkering"/>
          <w:rFonts w:cs="Times New Roman"/>
          <w:lang w:val="en-US"/>
        </w:rPr>
        <w:footnoteReference w:id="24"/>
      </w:r>
      <w:r w:rsidR="001E4B83" w:rsidRPr="00D723FF">
        <w:rPr>
          <w:rFonts w:cs="Times New Roman"/>
          <w:lang w:val="en-US"/>
        </w:rPr>
        <w:tab/>
      </w:r>
      <w:r w:rsidR="001E4B83" w:rsidRPr="00D723FF">
        <w:rPr>
          <w:rFonts w:eastAsia="Times New Roman" w:cs="Times New Roman"/>
          <w:szCs w:val="24"/>
          <w:lang w:val="en-US" w:eastAsia="nl-NL"/>
        </w:rPr>
        <w:br/>
      </w:r>
    </w:p>
    <w:p w14:paraId="17F351A1" w14:textId="4A896A7C" w:rsidR="006F2C64" w:rsidRPr="00D723FF" w:rsidRDefault="00C25237" w:rsidP="00D723FF">
      <w:pPr>
        <w:pStyle w:val="Plattetekst"/>
        <w:spacing w:line="360" w:lineRule="auto"/>
        <w:ind w:left="23" w:right="137"/>
        <w:jc w:val="both"/>
      </w:pPr>
      <w:r w:rsidRPr="00D723FF">
        <w:rPr>
          <w:rFonts w:eastAsiaTheme="minorHAnsi"/>
          <w:szCs w:val="22"/>
        </w:rPr>
        <w:t xml:space="preserve">The application of </w:t>
      </w:r>
      <w:r w:rsidR="00E80C47" w:rsidRPr="00D723FF">
        <w:rPr>
          <w:rFonts w:eastAsiaTheme="minorHAnsi"/>
          <w:szCs w:val="22"/>
        </w:rPr>
        <w:t xml:space="preserve">Article II(c) of the Genocide Convention </w:t>
      </w:r>
      <w:r w:rsidR="00281EE3" w:rsidRPr="00D723FF">
        <w:rPr>
          <w:rFonts w:eastAsiaTheme="minorHAnsi"/>
          <w:szCs w:val="22"/>
        </w:rPr>
        <w:t xml:space="preserve">does not only </w:t>
      </w:r>
      <w:r w:rsidR="00E80C47" w:rsidRPr="00D723FF">
        <w:rPr>
          <w:rFonts w:eastAsiaTheme="minorHAnsi"/>
          <w:szCs w:val="22"/>
        </w:rPr>
        <w:t>depend on the nature of the acts</w:t>
      </w:r>
      <w:r w:rsidR="001201AC" w:rsidRPr="00D723FF">
        <w:rPr>
          <w:rFonts w:eastAsiaTheme="minorHAnsi"/>
          <w:szCs w:val="22"/>
        </w:rPr>
        <w:t xml:space="preserve"> </w:t>
      </w:r>
      <w:r w:rsidR="00E80C47" w:rsidRPr="00D723FF">
        <w:rPr>
          <w:rFonts w:eastAsiaTheme="minorHAnsi"/>
          <w:szCs w:val="22"/>
        </w:rPr>
        <w:t xml:space="preserve">but </w:t>
      </w:r>
      <w:r w:rsidR="00281EE3" w:rsidRPr="00D723FF">
        <w:rPr>
          <w:rFonts w:eastAsiaTheme="minorHAnsi"/>
          <w:szCs w:val="22"/>
        </w:rPr>
        <w:t xml:space="preserve">also </w:t>
      </w:r>
      <w:r w:rsidR="00E80C47" w:rsidRPr="00D723FF">
        <w:rPr>
          <w:rFonts w:eastAsiaTheme="minorHAnsi"/>
          <w:szCs w:val="22"/>
        </w:rPr>
        <w:t>on the specific intent</w:t>
      </w:r>
      <w:r w:rsidR="00281EE3" w:rsidRPr="00D723FF">
        <w:t xml:space="preserve"> </w:t>
      </w:r>
      <w:r w:rsidR="00E80C47" w:rsidRPr="00D723FF">
        <w:t>with which they are carried out.</w:t>
      </w:r>
      <w:r w:rsidR="00281EE3" w:rsidRPr="00D723FF">
        <w:rPr>
          <w:rStyle w:val="Voetnootmarkering"/>
        </w:rPr>
        <w:footnoteReference w:id="25"/>
      </w:r>
      <w:r w:rsidR="00E80C47" w:rsidRPr="00D723FF">
        <w:t xml:space="preserve"> </w:t>
      </w:r>
      <w:proofErr w:type="spellStart"/>
      <w:r w:rsidR="00854F05" w:rsidRPr="00D723FF">
        <w:rPr>
          <w:i/>
          <w:iCs/>
        </w:rPr>
        <w:t>Mens</w:t>
      </w:r>
      <w:proofErr w:type="spellEnd"/>
      <w:r w:rsidR="00854F05" w:rsidRPr="00D723FF">
        <w:rPr>
          <w:i/>
          <w:iCs/>
        </w:rPr>
        <w:t xml:space="preserve"> rea</w:t>
      </w:r>
      <w:r w:rsidR="00854F05" w:rsidRPr="00D723FF">
        <w:t xml:space="preserve"> refers to the mental element of a crime</w:t>
      </w:r>
      <w:r w:rsidR="00506858" w:rsidRPr="00D723FF">
        <w:t xml:space="preserve"> divided in four </w:t>
      </w:r>
      <w:r w:rsidR="001201AC" w:rsidRPr="00D723FF">
        <w:t>components</w:t>
      </w:r>
      <w:r w:rsidR="00506858" w:rsidRPr="00D723FF">
        <w:t>: (a) an intent (b) to destroy (c) a national, ethical, racial, or religious group (d) in whole or in part</w:t>
      </w:r>
      <w:r w:rsidR="00854F05" w:rsidRPr="00D723FF">
        <w:t>.</w:t>
      </w:r>
      <w:r w:rsidR="00854F05" w:rsidRPr="00D723FF">
        <w:rPr>
          <w:rStyle w:val="Voetnootmarkering"/>
        </w:rPr>
        <w:footnoteReference w:id="26"/>
      </w:r>
      <w:r w:rsidR="00854F05" w:rsidRPr="00D723FF">
        <w:t xml:space="preserve"> </w:t>
      </w:r>
      <w:r w:rsidR="00E80C47" w:rsidRPr="00D723FF">
        <w:t xml:space="preserve">In this respect, genocide requires a distinct </w:t>
      </w:r>
      <w:proofErr w:type="spellStart"/>
      <w:r w:rsidR="00E80C47" w:rsidRPr="00D723FF">
        <w:rPr>
          <w:i/>
          <w:iCs/>
        </w:rPr>
        <w:t>mens</w:t>
      </w:r>
      <w:proofErr w:type="spellEnd"/>
      <w:r w:rsidR="00E80C47" w:rsidRPr="00D723FF">
        <w:rPr>
          <w:i/>
          <w:iCs/>
        </w:rPr>
        <w:t xml:space="preserve"> rea</w:t>
      </w:r>
      <w:r w:rsidR="00E80C47" w:rsidRPr="00D723FF">
        <w:t>, namely the special</w:t>
      </w:r>
      <w:r w:rsidR="00633555" w:rsidRPr="00D723FF">
        <w:t>/genocidal intent</w:t>
      </w:r>
      <w:r w:rsidR="00E80C47" w:rsidRPr="00D723FF">
        <w:t xml:space="preserve"> (</w:t>
      </w:r>
      <w:r w:rsidR="00E80C47" w:rsidRPr="00D723FF">
        <w:rPr>
          <w:i/>
          <w:iCs/>
        </w:rPr>
        <w:t xml:space="preserve">dolus </w:t>
      </w:r>
      <w:proofErr w:type="spellStart"/>
      <w:r w:rsidR="00E80C47" w:rsidRPr="00D723FF">
        <w:rPr>
          <w:i/>
          <w:iCs/>
        </w:rPr>
        <w:t>specialis</w:t>
      </w:r>
      <w:proofErr w:type="spellEnd"/>
      <w:r w:rsidR="00E80C47" w:rsidRPr="00D723FF">
        <w:t>) to destroy a protected group, in whole or in part.</w:t>
      </w:r>
      <w:r w:rsidR="00633555" w:rsidRPr="00D723FF">
        <w:rPr>
          <w:rStyle w:val="Voetnootmarkering"/>
        </w:rPr>
        <w:footnoteReference w:id="27"/>
      </w:r>
      <w:r w:rsidR="00E80C47" w:rsidRPr="00D723FF">
        <w:t xml:space="preserve"> </w:t>
      </w:r>
      <w:r w:rsidR="006A77F9" w:rsidRPr="00D723FF">
        <w:t xml:space="preserve">Unfortunately, the case law does not always precisely distinguish between the general </w:t>
      </w:r>
      <w:proofErr w:type="spellStart"/>
      <w:r w:rsidR="006A77F9" w:rsidRPr="00D723FF">
        <w:rPr>
          <w:i/>
          <w:iCs/>
        </w:rPr>
        <w:t>mens</w:t>
      </w:r>
      <w:proofErr w:type="spellEnd"/>
      <w:r w:rsidR="006A77F9" w:rsidRPr="00D723FF">
        <w:rPr>
          <w:i/>
          <w:iCs/>
        </w:rPr>
        <w:t xml:space="preserve"> rea</w:t>
      </w:r>
      <w:r w:rsidR="006A77F9" w:rsidRPr="00D723FF">
        <w:t xml:space="preserve"> and the specific intent as an additional mental element.</w:t>
      </w:r>
      <w:r w:rsidR="006A77F9" w:rsidRPr="00D723FF">
        <w:rPr>
          <w:rStyle w:val="Voetnootmarkering"/>
        </w:rPr>
        <w:footnoteReference w:id="28"/>
      </w:r>
      <w:r w:rsidR="006A77F9" w:rsidRPr="00D723FF">
        <w:t xml:space="preserve"> </w:t>
      </w:r>
      <w:r w:rsidR="00013D57">
        <w:t>That</w:t>
      </w:r>
      <w:r w:rsidR="00E80C47" w:rsidRPr="00D723FF">
        <w:t xml:space="preserve"> requirement </w:t>
      </w:r>
      <w:r w:rsidR="008A6258" w:rsidRPr="00D723FF">
        <w:t xml:space="preserve">of special intent </w:t>
      </w:r>
      <w:r w:rsidR="00E80C47" w:rsidRPr="00D723FF">
        <w:t>constitutes the defining element of genocide and distinguishes it from other international crimes.</w:t>
      </w:r>
      <w:r w:rsidR="006F2C64" w:rsidRPr="00D723FF">
        <w:tab/>
      </w:r>
      <w:r w:rsidR="006F2C64" w:rsidRPr="00D723FF">
        <w:br/>
      </w:r>
    </w:p>
    <w:p w14:paraId="4D02BCF0" w14:textId="10544150" w:rsidR="000A4DAB" w:rsidRPr="00D723FF" w:rsidRDefault="00461419" w:rsidP="00D723FF">
      <w:pPr>
        <w:pStyle w:val="Plattetekst"/>
        <w:spacing w:line="360" w:lineRule="auto"/>
        <w:ind w:left="23" w:right="137"/>
        <w:jc w:val="both"/>
      </w:pPr>
      <w:r w:rsidRPr="00D723FF">
        <w:t xml:space="preserve">As stated before, the definition of genocide as reflected in Article II of the Genocide Convention </w:t>
      </w:r>
      <w:r w:rsidRPr="00D723FF">
        <w:lastRenderedPageBreak/>
        <w:t>is reproduced in Article 6 of the Rome Statute of the International Criminal Court.</w:t>
      </w:r>
      <w:r w:rsidR="000A4DAB" w:rsidRPr="00D723FF">
        <w:rPr>
          <w:rStyle w:val="Voetnootmarkering"/>
        </w:rPr>
        <w:footnoteReference w:id="29"/>
      </w:r>
      <w:r w:rsidRPr="00D723FF">
        <w:t xml:space="preserve"> These provisions are generally understood as codifications of customary </w:t>
      </w:r>
      <w:r w:rsidR="00C25237" w:rsidRPr="00D723FF">
        <w:t>i</w:t>
      </w:r>
      <w:r w:rsidRPr="00D723FF">
        <w:t xml:space="preserve">nternational </w:t>
      </w:r>
      <w:r w:rsidR="00C25237" w:rsidRPr="00D723FF">
        <w:t>l</w:t>
      </w:r>
      <w:r w:rsidRPr="00D723FF">
        <w:t>aw</w:t>
      </w:r>
      <w:r w:rsidR="000A4DAB" w:rsidRPr="00D723FF">
        <w:t>.</w:t>
      </w:r>
      <w:r w:rsidR="000A4DAB" w:rsidRPr="00D723FF">
        <w:rPr>
          <w:rStyle w:val="Voetnootmarkering"/>
        </w:rPr>
        <w:footnoteReference w:id="30"/>
      </w:r>
      <w:r w:rsidR="000A4DAB" w:rsidRPr="00D723FF">
        <w:t xml:space="preserve"> </w:t>
      </w:r>
      <w:r w:rsidR="00DD3FBA" w:rsidRPr="00D723FF">
        <w:t xml:space="preserve">Customary </w:t>
      </w:r>
      <w:r w:rsidR="00C25237" w:rsidRPr="00D723FF">
        <w:t>i</w:t>
      </w:r>
      <w:r w:rsidR="00DD3FBA" w:rsidRPr="00D723FF">
        <w:t xml:space="preserve">nternational </w:t>
      </w:r>
      <w:r w:rsidR="00C25237" w:rsidRPr="00D723FF">
        <w:t>l</w:t>
      </w:r>
      <w:r w:rsidR="00DD3FBA" w:rsidRPr="00D723FF">
        <w:t>aw, as referred to in Article 38 of the ICJ Statute, consists of rules derived from general practice</w:t>
      </w:r>
      <w:r w:rsidR="00EB4628" w:rsidRPr="00D723FF">
        <w:t xml:space="preserve"> (</w:t>
      </w:r>
      <w:r w:rsidR="00EB4628" w:rsidRPr="00D723FF">
        <w:rPr>
          <w:i/>
          <w:iCs/>
        </w:rPr>
        <w:t>state practice</w:t>
      </w:r>
      <w:r w:rsidR="00EB4628" w:rsidRPr="00D723FF">
        <w:t>)</w:t>
      </w:r>
      <w:r w:rsidR="00DD3FBA" w:rsidRPr="00D723FF">
        <w:t xml:space="preserve"> accepted as law</w:t>
      </w:r>
      <w:r w:rsidR="00EB4628" w:rsidRPr="00D723FF">
        <w:t xml:space="preserve"> (</w:t>
      </w:r>
      <w:proofErr w:type="spellStart"/>
      <w:r w:rsidR="00EB4628" w:rsidRPr="00D723FF">
        <w:rPr>
          <w:i/>
          <w:iCs/>
        </w:rPr>
        <w:t>opinio</w:t>
      </w:r>
      <w:proofErr w:type="spellEnd"/>
      <w:r w:rsidR="00EB4628" w:rsidRPr="00D723FF">
        <w:rPr>
          <w:i/>
          <w:iCs/>
        </w:rPr>
        <w:t xml:space="preserve"> juris</w:t>
      </w:r>
      <w:r w:rsidR="00EB4628" w:rsidRPr="00D723FF">
        <w:t>)</w:t>
      </w:r>
      <w:r w:rsidR="00DD3FBA" w:rsidRPr="00D723FF">
        <w:t>.</w:t>
      </w:r>
      <w:r w:rsidR="00EB4628" w:rsidRPr="00D723FF">
        <w:rPr>
          <w:rStyle w:val="Voetnootmarkering"/>
        </w:rPr>
        <w:footnoteReference w:id="31"/>
      </w:r>
      <w:r w:rsidR="00DD3FBA" w:rsidRPr="00D723FF">
        <w:t xml:space="preserve"> </w:t>
      </w:r>
      <w:r w:rsidR="000A4DAB" w:rsidRPr="00D723FF">
        <w:t>T</w:t>
      </w:r>
      <w:r w:rsidRPr="00D723FF">
        <w:t>herefore</w:t>
      </w:r>
      <w:r w:rsidR="00A124CA" w:rsidRPr="00D723FF">
        <w:t>,</w:t>
      </w:r>
      <w:r w:rsidRPr="00D723FF">
        <w:t xml:space="preserve"> </w:t>
      </w:r>
      <w:r w:rsidR="000A2342" w:rsidRPr="00D723FF">
        <w:t xml:space="preserve">it </w:t>
      </w:r>
      <w:r w:rsidRPr="00D723FF">
        <w:t>reflect</w:t>
      </w:r>
      <w:r w:rsidR="000A2342" w:rsidRPr="00D723FF">
        <w:t>s</w:t>
      </w:r>
      <w:r w:rsidRPr="00D723FF">
        <w:t xml:space="preserve"> binding norms beyond their respective treaty frameworks.</w:t>
      </w:r>
      <w:r w:rsidRPr="00D723FF">
        <w:rPr>
          <w:rStyle w:val="Voetnootmarkering"/>
        </w:rPr>
        <w:footnoteReference w:id="32"/>
      </w:r>
      <w:r w:rsidR="000A4DAB" w:rsidRPr="00D723FF">
        <w:t xml:space="preserve"> As such, the elements of genocide, including the requirement of </w:t>
      </w:r>
      <w:r w:rsidR="000A4DAB" w:rsidRPr="00D723FF">
        <w:rPr>
          <w:i/>
          <w:iCs/>
        </w:rPr>
        <w:t xml:space="preserve">dolus </w:t>
      </w:r>
      <w:proofErr w:type="spellStart"/>
      <w:r w:rsidR="000A4DAB" w:rsidRPr="00D723FF">
        <w:rPr>
          <w:i/>
          <w:iCs/>
        </w:rPr>
        <w:t>specialis</w:t>
      </w:r>
      <w:proofErr w:type="spellEnd"/>
      <w:r w:rsidR="000A4DAB" w:rsidRPr="00D723FF">
        <w:t>, apply consistently across both instruments.</w:t>
      </w:r>
    </w:p>
    <w:p w14:paraId="796B569A" w14:textId="77777777" w:rsidR="000A4DAB" w:rsidRPr="00D723FF" w:rsidRDefault="000A4DAB" w:rsidP="00D723FF">
      <w:pPr>
        <w:pStyle w:val="Plattetekst"/>
        <w:spacing w:line="360" w:lineRule="auto"/>
        <w:ind w:left="23" w:right="137"/>
        <w:jc w:val="both"/>
      </w:pPr>
    </w:p>
    <w:p w14:paraId="1006F67D" w14:textId="35E6EA1B" w:rsidR="00B22495" w:rsidRPr="00D723FF" w:rsidRDefault="00143EC0" w:rsidP="00D723FF">
      <w:pPr>
        <w:pStyle w:val="Plattetekst"/>
        <w:spacing w:line="360" w:lineRule="auto"/>
        <w:ind w:left="23" w:right="137"/>
        <w:jc w:val="both"/>
      </w:pPr>
      <w:r w:rsidRPr="00D723FF">
        <w:t>Th</w:t>
      </w:r>
      <w:r w:rsidR="000A4DAB" w:rsidRPr="00D723FF">
        <w:t>e</w:t>
      </w:r>
      <w:r w:rsidRPr="00D723FF">
        <w:t xml:space="preserve"> interpretative uncertainty </w:t>
      </w:r>
      <w:r w:rsidR="000A4DAB" w:rsidRPr="00D723FF">
        <w:t xml:space="preserve">of the scope of ‘genocide’ </w:t>
      </w:r>
      <w:r w:rsidRPr="00D723FF">
        <w:t>becomes relevant in situations of armed conflict, where</w:t>
      </w:r>
      <w:r w:rsidRPr="00D723FF">
        <w:rPr>
          <w:spacing w:val="-9"/>
        </w:rPr>
        <w:t xml:space="preserve"> </w:t>
      </w:r>
      <w:r w:rsidRPr="00D723FF">
        <w:t>the</w:t>
      </w:r>
      <w:r w:rsidRPr="00D723FF">
        <w:rPr>
          <w:spacing w:val="-9"/>
        </w:rPr>
        <w:t xml:space="preserve"> </w:t>
      </w:r>
      <w:r w:rsidRPr="00D723FF">
        <w:t>natural</w:t>
      </w:r>
      <w:r w:rsidRPr="00D723FF">
        <w:rPr>
          <w:spacing w:val="-9"/>
        </w:rPr>
        <w:t xml:space="preserve"> </w:t>
      </w:r>
      <w:r w:rsidRPr="00D723FF">
        <w:t>environment</w:t>
      </w:r>
      <w:r w:rsidRPr="00D723FF">
        <w:rPr>
          <w:spacing w:val="-9"/>
        </w:rPr>
        <w:t xml:space="preserve"> </w:t>
      </w:r>
      <w:r w:rsidRPr="00D723FF">
        <w:t>is</w:t>
      </w:r>
      <w:r w:rsidRPr="00D723FF">
        <w:rPr>
          <w:spacing w:val="-9"/>
        </w:rPr>
        <w:t xml:space="preserve"> </w:t>
      </w:r>
      <w:r w:rsidRPr="00D723FF">
        <w:t>targeted</w:t>
      </w:r>
      <w:r w:rsidRPr="00D723FF">
        <w:rPr>
          <w:spacing w:val="-9"/>
        </w:rPr>
        <w:t xml:space="preserve"> </w:t>
      </w:r>
      <w:r w:rsidRPr="00D723FF">
        <w:t>as</w:t>
      </w:r>
      <w:r w:rsidRPr="00D723FF">
        <w:rPr>
          <w:spacing w:val="-9"/>
        </w:rPr>
        <w:t xml:space="preserve"> </w:t>
      </w:r>
      <w:r w:rsidRPr="00D723FF">
        <w:t>part</w:t>
      </w:r>
      <w:r w:rsidRPr="00D723FF">
        <w:rPr>
          <w:spacing w:val="-9"/>
        </w:rPr>
        <w:t xml:space="preserve"> </w:t>
      </w:r>
      <w:r w:rsidRPr="00D723FF">
        <w:t>of</w:t>
      </w:r>
      <w:r w:rsidRPr="00D723FF">
        <w:rPr>
          <w:spacing w:val="-9"/>
        </w:rPr>
        <w:t xml:space="preserve"> </w:t>
      </w:r>
      <w:r w:rsidRPr="00D723FF">
        <w:t>military</w:t>
      </w:r>
      <w:r w:rsidRPr="00D723FF">
        <w:rPr>
          <w:spacing w:val="-9"/>
        </w:rPr>
        <w:t xml:space="preserve"> </w:t>
      </w:r>
      <w:r w:rsidRPr="00D723FF">
        <w:t>or</w:t>
      </w:r>
      <w:r w:rsidRPr="00D723FF">
        <w:rPr>
          <w:spacing w:val="-9"/>
        </w:rPr>
        <w:t xml:space="preserve"> </w:t>
      </w:r>
      <w:r w:rsidRPr="00D723FF">
        <w:t>strategic</w:t>
      </w:r>
      <w:r w:rsidRPr="00D723FF">
        <w:rPr>
          <w:spacing w:val="-9"/>
        </w:rPr>
        <w:t xml:space="preserve"> </w:t>
      </w:r>
      <w:r w:rsidRPr="00D723FF">
        <w:t>tactics.</w:t>
      </w:r>
      <w:r w:rsidRPr="00D723FF">
        <w:rPr>
          <w:spacing w:val="-9"/>
        </w:rPr>
        <w:t xml:space="preserve"> </w:t>
      </w:r>
      <w:r w:rsidRPr="00D723FF">
        <w:t>Unlike</w:t>
      </w:r>
      <w:r w:rsidRPr="00D723FF">
        <w:rPr>
          <w:spacing w:val="-9"/>
        </w:rPr>
        <w:t xml:space="preserve"> </w:t>
      </w:r>
      <w:r w:rsidRPr="00D723FF">
        <w:t>broader processes</w:t>
      </w:r>
      <w:r w:rsidRPr="00D723FF">
        <w:rPr>
          <w:spacing w:val="-11"/>
        </w:rPr>
        <w:t xml:space="preserve"> </w:t>
      </w:r>
      <w:r w:rsidRPr="00D723FF">
        <w:t>such</w:t>
      </w:r>
      <w:r w:rsidRPr="00D723FF">
        <w:rPr>
          <w:spacing w:val="-11"/>
        </w:rPr>
        <w:t xml:space="preserve"> </w:t>
      </w:r>
      <w:r w:rsidRPr="00D723FF">
        <w:t>as</w:t>
      </w:r>
      <w:r w:rsidRPr="00D723FF">
        <w:rPr>
          <w:spacing w:val="-11"/>
        </w:rPr>
        <w:t xml:space="preserve"> </w:t>
      </w:r>
      <w:r w:rsidRPr="00D723FF">
        <w:t>climate</w:t>
      </w:r>
      <w:r w:rsidRPr="00D723FF">
        <w:rPr>
          <w:spacing w:val="-11"/>
        </w:rPr>
        <w:t xml:space="preserve"> </w:t>
      </w:r>
      <w:r w:rsidRPr="00D723FF">
        <w:t>change,</w:t>
      </w:r>
      <w:r w:rsidRPr="00D723FF">
        <w:rPr>
          <w:spacing w:val="-11"/>
        </w:rPr>
        <w:t xml:space="preserve"> </w:t>
      </w:r>
      <w:r w:rsidRPr="00D723FF">
        <w:t>which</w:t>
      </w:r>
      <w:r w:rsidRPr="00D723FF">
        <w:rPr>
          <w:spacing w:val="-11"/>
        </w:rPr>
        <w:t xml:space="preserve"> </w:t>
      </w:r>
      <w:r w:rsidRPr="00D723FF">
        <w:t>generally</w:t>
      </w:r>
      <w:r w:rsidRPr="00D723FF">
        <w:rPr>
          <w:spacing w:val="-11"/>
        </w:rPr>
        <w:t xml:space="preserve"> </w:t>
      </w:r>
      <w:r w:rsidRPr="00D723FF">
        <w:t>lack</w:t>
      </w:r>
      <w:r w:rsidRPr="00D723FF">
        <w:rPr>
          <w:spacing w:val="-11"/>
        </w:rPr>
        <w:t xml:space="preserve"> </w:t>
      </w:r>
      <w:r w:rsidRPr="00D723FF">
        <w:t>the</w:t>
      </w:r>
      <w:r w:rsidRPr="00D723FF">
        <w:rPr>
          <w:spacing w:val="-11"/>
        </w:rPr>
        <w:t xml:space="preserve"> </w:t>
      </w:r>
      <w:r w:rsidRPr="00D723FF">
        <w:t>specific</w:t>
      </w:r>
      <w:r w:rsidRPr="00D723FF">
        <w:rPr>
          <w:spacing w:val="-11"/>
        </w:rPr>
        <w:t xml:space="preserve"> </w:t>
      </w:r>
      <w:r w:rsidRPr="00D723FF">
        <w:t>intent</w:t>
      </w:r>
      <w:r w:rsidRPr="00D723FF">
        <w:rPr>
          <w:spacing w:val="-11"/>
        </w:rPr>
        <w:t xml:space="preserve"> </w:t>
      </w:r>
      <w:r w:rsidRPr="00D723FF">
        <w:t>(</w:t>
      </w:r>
      <w:proofErr w:type="spellStart"/>
      <w:r w:rsidRPr="00D723FF">
        <w:rPr>
          <w:i/>
        </w:rPr>
        <w:t>mens</w:t>
      </w:r>
      <w:proofErr w:type="spellEnd"/>
      <w:r w:rsidRPr="00D723FF">
        <w:rPr>
          <w:i/>
          <w:spacing w:val="-11"/>
        </w:rPr>
        <w:t xml:space="preserve"> </w:t>
      </w:r>
      <w:r w:rsidRPr="00D723FF">
        <w:rPr>
          <w:i/>
        </w:rPr>
        <w:t>rea</w:t>
      </w:r>
      <w:r w:rsidRPr="00D723FF">
        <w:t>)</w:t>
      </w:r>
      <w:r w:rsidRPr="00D723FF">
        <w:rPr>
          <w:spacing w:val="-11"/>
        </w:rPr>
        <w:t xml:space="preserve"> </w:t>
      </w:r>
      <w:r w:rsidRPr="00D723FF">
        <w:t>required for genocide</w:t>
      </w:r>
      <w:r w:rsidR="000A4DAB" w:rsidRPr="00D723FF">
        <w:t>,</w:t>
      </w:r>
      <w:r w:rsidRPr="00D723FF">
        <w:rPr>
          <w:rStyle w:val="Voetnootmarkering"/>
        </w:rPr>
        <w:footnoteReference w:id="33"/>
      </w:r>
      <w:r w:rsidRPr="00D723FF">
        <w:t xml:space="preserve"> </w:t>
      </w:r>
      <w:proofErr w:type="spellStart"/>
      <w:r w:rsidR="006E01AD" w:rsidRPr="00D723FF">
        <w:rPr>
          <w:lang w:val="fr-BE"/>
        </w:rPr>
        <w:t>environmental</w:t>
      </w:r>
      <w:proofErr w:type="spellEnd"/>
      <w:r w:rsidR="006E01AD" w:rsidRPr="00D723FF">
        <w:rPr>
          <w:lang w:val="fr-BE"/>
        </w:rPr>
        <w:t xml:space="preserve"> destruction </w:t>
      </w:r>
      <w:proofErr w:type="spellStart"/>
      <w:r w:rsidR="006E01AD" w:rsidRPr="00D723FF">
        <w:rPr>
          <w:lang w:val="fr-BE"/>
        </w:rPr>
        <w:t>during</w:t>
      </w:r>
      <w:proofErr w:type="spellEnd"/>
      <w:r w:rsidR="006E01AD" w:rsidRPr="00D723FF">
        <w:rPr>
          <w:lang w:val="fr-BE"/>
        </w:rPr>
        <w:t xml:space="preserve"> </w:t>
      </w:r>
      <w:proofErr w:type="spellStart"/>
      <w:r w:rsidR="006E01AD" w:rsidRPr="00D723FF">
        <w:rPr>
          <w:lang w:val="fr-BE"/>
        </w:rPr>
        <w:t>armed</w:t>
      </w:r>
      <w:proofErr w:type="spellEnd"/>
      <w:r w:rsidR="006E01AD" w:rsidRPr="00D723FF">
        <w:rPr>
          <w:lang w:val="fr-BE"/>
        </w:rPr>
        <w:t xml:space="preserve"> </w:t>
      </w:r>
      <w:proofErr w:type="spellStart"/>
      <w:r w:rsidR="006E01AD" w:rsidRPr="00D723FF">
        <w:rPr>
          <w:lang w:val="fr-BE"/>
        </w:rPr>
        <w:t>conflict</w:t>
      </w:r>
      <w:proofErr w:type="spellEnd"/>
      <w:r w:rsidR="006E01AD" w:rsidRPr="00D723FF">
        <w:rPr>
          <w:lang w:val="fr-BE"/>
        </w:rPr>
        <w:t xml:space="preserve"> </w:t>
      </w:r>
      <w:proofErr w:type="spellStart"/>
      <w:r w:rsidR="006E01AD" w:rsidRPr="00D723FF">
        <w:rPr>
          <w:lang w:val="fr-BE"/>
        </w:rPr>
        <w:t>may</w:t>
      </w:r>
      <w:proofErr w:type="spellEnd"/>
      <w:r w:rsidR="006E01AD" w:rsidRPr="00D723FF">
        <w:rPr>
          <w:lang w:val="fr-BE"/>
        </w:rPr>
        <w:t xml:space="preserve"> </w:t>
      </w:r>
      <w:proofErr w:type="spellStart"/>
      <w:r w:rsidR="006E01AD" w:rsidRPr="00D723FF">
        <w:rPr>
          <w:lang w:val="fr-BE"/>
        </w:rPr>
        <w:t>be</w:t>
      </w:r>
      <w:proofErr w:type="spellEnd"/>
      <w:r w:rsidR="006E01AD" w:rsidRPr="00D723FF">
        <w:rPr>
          <w:lang w:val="fr-BE"/>
        </w:rPr>
        <w:t xml:space="preserve"> </w:t>
      </w:r>
      <w:proofErr w:type="spellStart"/>
      <w:r w:rsidR="006E01AD" w:rsidRPr="00D723FF">
        <w:rPr>
          <w:lang w:val="fr-BE"/>
        </w:rPr>
        <w:t>inflicted</w:t>
      </w:r>
      <w:proofErr w:type="spellEnd"/>
      <w:r w:rsidR="006E01AD" w:rsidRPr="00D723FF">
        <w:rPr>
          <w:lang w:val="fr-BE"/>
        </w:rPr>
        <w:t xml:space="preserve"> </w:t>
      </w:r>
      <w:proofErr w:type="spellStart"/>
      <w:r w:rsidR="006E01AD" w:rsidRPr="00D723FF">
        <w:rPr>
          <w:lang w:val="fr-BE"/>
        </w:rPr>
        <w:t>intentionally</w:t>
      </w:r>
      <w:proofErr w:type="spellEnd"/>
      <w:r w:rsidR="006E01AD" w:rsidRPr="00D723FF">
        <w:rPr>
          <w:lang w:val="fr-BE"/>
        </w:rPr>
        <w:t xml:space="preserve"> </w:t>
      </w:r>
      <w:proofErr w:type="spellStart"/>
      <w:r w:rsidR="006E01AD" w:rsidRPr="00D723FF">
        <w:rPr>
          <w:lang w:val="fr-BE"/>
        </w:rPr>
        <w:t>against</w:t>
      </w:r>
      <w:proofErr w:type="spellEnd"/>
      <w:r w:rsidR="006E01AD" w:rsidRPr="00D723FF">
        <w:rPr>
          <w:lang w:val="fr-BE"/>
        </w:rPr>
        <w:t xml:space="preserve"> a </w:t>
      </w:r>
      <w:proofErr w:type="spellStart"/>
      <w:r w:rsidR="006E01AD" w:rsidRPr="00D723FF">
        <w:rPr>
          <w:lang w:val="fr-BE"/>
        </w:rPr>
        <w:t>protected</w:t>
      </w:r>
      <w:proofErr w:type="spellEnd"/>
      <w:r w:rsidR="006E01AD" w:rsidRPr="00D723FF">
        <w:rPr>
          <w:lang w:val="fr-BE"/>
        </w:rPr>
        <w:t xml:space="preserve"> group</w:t>
      </w:r>
      <w:r w:rsidRPr="00D723FF">
        <w:t xml:space="preserve">. </w:t>
      </w:r>
      <w:r w:rsidR="006E01AD" w:rsidRPr="00D723FF">
        <w:t>Article 6(c) of the Rome Statute is widely regarded as a codification of customary international law and confirms that genocide may be committed through the deliberate infliction of “conditions of life calculated to bring about the physical destruction” of a group.</w:t>
      </w:r>
      <w:r w:rsidR="003605D5" w:rsidRPr="00D723FF">
        <w:rPr>
          <w:rStyle w:val="Voetnootmarkering"/>
        </w:rPr>
        <w:footnoteReference w:id="34"/>
      </w:r>
      <w:r w:rsidR="006E01AD" w:rsidRPr="00D723FF">
        <w:t xml:space="preserve"> </w:t>
      </w:r>
      <w:r w:rsidR="00727DE4">
        <w:tab/>
      </w:r>
      <w:r w:rsidR="00727DE4">
        <w:br/>
      </w:r>
      <w:r w:rsidR="00B22495" w:rsidRPr="00D723FF">
        <w:lastRenderedPageBreak/>
        <w:t>In this respect, environmental destruction, such as the targeting of water sources, agricultural systems, or land, can fall within the scope of genocide where it is used as a method of destruction</w:t>
      </w:r>
      <w:r w:rsidR="002B3EC6" w:rsidRPr="00D723FF">
        <w:t>, according to the ICC</w:t>
      </w:r>
      <w:r w:rsidR="00B22495" w:rsidRPr="00D723FF">
        <w:t>.</w:t>
      </w:r>
      <w:r w:rsidR="00B22495" w:rsidRPr="00D723FF">
        <w:rPr>
          <w:rStyle w:val="Voetnootmarkering"/>
        </w:rPr>
        <w:footnoteReference w:id="35"/>
      </w:r>
    </w:p>
    <w:p w14:paraId="54A82BBB" w14:textId="77777777" w:rsidR="00B22495" w:rsidRPr="00D723FF" w:rsidRDefault="00B22495" w:rsidP="00D723FF">
      <w:pPr>
        <w:pStyle w:val="Plattetekst"/>
        <w:spacing w:line="360" w:lineRule="auto"/>
        <w:ind w:left="23" w:right="137"/>
        <w:jc w:val="both"/>
      </w:pPr>
    </w:p>
    <w:p w14:paraId="6F73E07C" w14:textId="3A96F6D4" w:rsidR="00387416" w:rsidRPr="00D723FF" w:rsidRDefault="001B6EC1" w:rsidP="00D723FF">
      <w:pPr>
        <w:pStyle w:val="Plattetekst"/>
        <w:spacing w:line="360" w:lineRule="auto"/>
        <w:ind w:left="23" w:right="137"/>
        <w:jc w:val="both"/>
      </w:pPr>
      <w:r w:rsidRPr="00D723FF">
        <w:t>This interpretation is reflected in the Darfur situation before the ICC.</w:t>
      </w:r>
      <w:r w:rsidRPr="00D723FF">
        <w:rPr>
          <w:rStyle w:val="Voetnootmarkering"/>
        </w:rPr>
        <w:footnoteReference w:id="36"/>
      </w:r>
      <w:r w:rsidRPr="00D723FF">
        <w:t xml:space="preserve"> In </w:t>
      </w:r>
      <w:r w:rsidRPr="00D723FF">
        <w:rPr>
          <w:i/>
          <w:iCs/>
        </w:rPr>
        <w:t>Prosecutor v Al Bashir</w:t>
      </w:r>
      <w:r w:rsidRPr="00D723FF">
        <w:t>, the Prosecution alleged that attacks against the Fur, Masalit and Zaghawa groups included the destruction of wells, food supplies, crops and livestock, as well as the forcible usurpation of land.</w:t>
      </w:r>
      <w:r w:rsidRPr="00D723FF">
        <w:rPr>
          <w:rStyle w:val="Voetnootmarkering"/>
        </w:rPr>
        <w:footnoteReference w:id="37"/>
      </w:r>
      <w:r w:rsidRPr="00D723FF">
        <w:t xml:space="preserve"> According to the Prosecution, these acts formed part of a broader campaign intended to destroy the targeted groups by depriving them of the conditions necessary for survival.</w:t>
      </w:r>
      <w:r w:rsidR="00573442" w:rsidRPr="00D723FF">
        <w:rPr>
          <w:rStyle w:val="Voetnootmarkering"/>
        </w:rPr>
        <w:footnoteReference w:id="38"/>
      </w:r>
      <w:r w:rsidRPr="00D723FF">
        <w:t xml:space="preserve"> The case therefore illustrates how environmental destruction and the targeting of essential resources may be used as indirect methods of genocidal destruction under Article 6(c) of the Rome Statute</w:t>
      </w:r>
      <w:r w:rsidR="00B22495" w:rsidRPr="00D723FF">
        <w:t>.</w:t>
      </w:r>
      <w:r w:rsidR="00573442" w:rsidRPr="00D723FF">
        <w:rPr>
          <w:rStyle w:val="Voetnootmarkering"/>
        </w:rPr>
        <w:footnoteReference w:id="39"/>
      </w:r>
      <w:r w:rsidRPr="00D723FF">
        <w:t xml:space="preserve"> </w:t>
      </w:r>
      <w:r w:rsidR="00D65CD4" w:rsidRPr="00D723FF">
        <w:t xml:space="preserve">It also demonstrates how environmental destruction may be </w:t>
      </w:r>
      <w:r w:rsidR="00A124CA" w:rsidRPr="00D723FF">
        <w:t>deployed</w:t>
      </w:r>
      <w:r w:rsidR="00D65CD4" w:rsidRPr="00D723FF">
        <w:t xml:space="preserve"> not merely to displace populations or achieve military objectives but </w:t>
      </w:r>
      <w:r w:rsidR="006E01AD" w:rsidRPr="00D723FF">
        <w:t xml:space="preserve">also </w:t>
      </w:r>
      <w:r w:rsidR="00D65CD4" w:rsidRPr="00D723FF">
        <w:t>to undermine the physical survival of a protected group itself, as a ‘silent weapon’.</w:t>
      </w:r>
      <w:r w:rsidR="00D65CD4" w:rsidRPr="00D723FF">
        <w:rPr>
          <w:rStyle w:val="Voetnootmarkering"/>
        </w:rPr>
        <w:footnoteReference w:id="40"/>
      </w:r>
      <w:r w:rsidR="00D65CD4" w:rsidRPr="00D723FF">
        <w:tab/>
      </w:r>
      <w:r w:rsidR="00866720" w:rsidRPr="00D723FF">
        <w:br/>
      </w:r>
    </w:p>
    <w:p w14:paraId="04F2E0E5" w14:textId="2152F824" w:rsidR="00F72A30" w:rsidRPr="00D723FF" w:rsidRDefault="009F4BBC" w:rsidP="00C7415B">
      <w:pPr>
        <w:pStyle w:val="Kop3"/>
        <w:spacing w:before="0" w:after="0" w:line="360" w:lineRule="auto"/>
        <w:rPr>
          <w:rStyle w:val="Nadruk"/>
          <w:rFonts w:cs="Times New Roman"/>
          <w:i/>
          <w:iCs w:val="0"/>
          <w:lang w:val="en-US"/>
        </w:rPr>
      </w:pPr>
      <w:bookmarkStart w:id="12" w:name="_Toc230376187"/>
      <w:r w:rsidRPr="00D723FF">
        <w:rPr>
          <w:rFonts w:cs="Times New Roman"/>
          <w:lang w:val="en-US"/>
        </w:rPr>
        <w:t>1.2.</w:t>
      </w:r>
      <w:r w:rsidR="00866720" w:rsidRPr="00D723FF">
        <w:rPr>
          <w:rStyle w:val="Nadruk"/>
          <w:rFonts w:cs="Times New Roman"/>
          <w:i/>
          <w:iCs w:val="0"/>
          <w:lang w:val="en-US"/>
        </w:rPr>
        <w:t>2.</w:t>
      </w:r>
      <w:r w:rsidRPr="00D723FF">
        <w:rPr>
          <w:rFonts w:cs="Times New Roman"/>
          <w:lang w:val="en-US"/>
        </w:rPr>
        <w:t xml:space="preserve"> Protected groups</w:t>
      </w:r>
      <w:bookmarkEnd w:id="12"/>
    </w:p>
    <w:p w14:paraId="00BBB9DA" w14:textId="05FD56CF" w:rsidR="00134EC3" w:rsidRPr="00D723FF" w:rsidRDefault="00134EC3" w:rsidP="00C7415B">
      <w:pPr>
        <w:spacing w:after="0" w:line="360" w:lineRule="auto"/>
        <w:jc w:val="both"/>
        <w:rPr>
          <w:lang w:val="en-US" w:eastAsia="en-US"/>
        </w:rPr>
      </w:pPr>
      <w:r w:rsidRPr="00D723FF">
        <w:rPr>
          <w:lang w:val="en-US" w:eastAsia="en-US"/>
        </w:rPr>
        <w:t xml:space="preserve">The Genocide Convention limits its </w:t>
      </w:r>
      <w:r w:rsidR="00A124CA" w:rsidRPr="00D723FF">
        <w:rPr>
          <w:lang w:val="en-US" w:eastAsia="en-US"/>
        </w:rPr>
        <w:t>purview of remit</w:t>
      </w:r>
      <w:r w:rsidRPr="00D723FF">
        <w:rPr>
          <w:lang w:val="en-US" w:eastAsia="en-US"/>
        </w:rPr>
        <w:t xml:space="preserve"> to acts committed against specific protected groups, namely national, ethnical, racial, and religious groups.</w:t>
      </w:r>
      <w:r w:rsidRPr="00D723FF">
        <w:rPr>
          <w:rStyle w:val="Voetnootmarkering"/>
          <w:lang w:val="en-US" w:eastAsia="en-US"/>
        </w:rPr>
        <w:footnoteReference w:id="41"/>
      </w:r>
      <w:r w:rsidRPr="00D723FF">
        <w:rPr>
          <w:lang w:val="en-US" w:eastAsia="en-US"/>
        </w:rPr>
        <w:t xml:space="preserve"> </w:t>
      </w:r>
      <w:r w:rsidR="00791C15" w:rsidRPr="00D723FF">
        <w:rPr>
          <w:lang w:val="en-US"/>
        </w:rPr>
        <w:t>This limitation constitutes an essential element of the crime, as genocide can only be established where the victims belong to</w:t>
      </w:r>
      <w:r w:rsidR="003D14E0" w:rsidRPr="00D723FF">
        <w:rPr>
          <w:lang w:val="en-US"/>
        </w:rPr>
        <w:t xml:space="preserve"> </w:t>
      </w:r>
      <w:r w:rsidR="00791C15" w:rsidRPr="00D723FF">
        <w:rPr>
          <w:lang w:val="en-US"/>
        </w:rPr>
        <w:t>one of these enumerated categories</w:t>
      </w:r>
      <w:r w:rsidRPr="00D723FF">
        <w:rPr>
          <w:lang w:val="en-US" w:eastAsia="en-US"/>
        </w:rPr>
        <w:t>.</w:t>
      </w:r>
      <w:r w:rsidR="00791C15" w:rsidRPr="00D723FF">
        <w:rPr>
          <w:rStyle w:val="Voetnootmarkering"/>
          <w:lang w:val="en-US" w:eastAsia="en-US"/>
        </w:rPr>
        <w:footnoteReference w:id="42"/>
      </w:r>
      <w:r w:rsidRPr="00D723FF">
        <w:rPr>
          <w:lang w:val="en-US" w:eastAsia="en-US"/>
        </w:rPr>
        <w:t xml:space="preserve"> </w:t>
      </w:r>
      <w:r w:rsidR="00A124CA" w:rsidRPr="00D723FF">
        <w:rPr>
          <w:lang w:val="en-US" w:eastAsia="en-US"/>
        </w:rPr>
        <w:t>Consequently, the</w:t>
      </w:r>
      <w:r w:rsidR="00DF311D" w:rsidRPr="00D723FF">
        <w:rPr>
          <w:lang w:val="en-US" w:eastAsia="en-US"/>
        </w:rPr>
        <w:t xml:space="preserve"> framers of the Genocide Convention </w:t>
      </w:r>
      <w:r w:rsidR="009C7113" w:rsidRPr="00D723FF">
        <w:rPr>
          <w:lang w:val="en-US" w:eastAsia="en-US"/>
        </w:rPr>
        <w:t xml:space="preserve">decided </w:t>
      </w:r>
      <w:r w:rsidR="00DF311D" w:rsidRPr="00D723FF">
        <w:rPr>
          <w:lang w:val="en-US" w:eastAsia="en-US"/>
        </w:rPr>
        <w:t>to exclude o</w:t>
      </w:r>
      <w:r w:rsidRPr="00D723FF">
        <w:rPr>
          <w:lang w:val="en-US" w:eastAsia="en-US"/>
        </w:rPr>
        <w:t>ther groups, such as political or socio-economic groups</w:t>
      </w:r>
      <w:r w:rsidR="00DF311D" w:rsidRPr="00D723FF">
        <w:rPr>
          <w:lang w:val="en-US" w:eastAsia="en-US"/>
        </w:rPr>
        <w:t>, out of the scope.</w:t>
      </w:r>
      <w:r w:rsidR="00DF311D" w:rsidRPr="00D723FF">
        <w:rPr>
          <w:rStyle w:val="Voetnootmarkering"/>
          <w:lang w:val="en-US" w:eastAsia="en-US"/>
        </w:rPr>
        <w:footnoteReference w:id="43"/>
      </w:r>
      <w:r w:rsidR="006F2C64" w:rsidRPr="00D723FF">
        <w:rPr>
          <w:lang w:val="en-US" w:eastAsia="en-US"/>
        </w:rPr>
        <w:tab/>
      </w:r>
    </w:p>
    <w:p w14:paraId="1E8E756F" w14:textId="77777777" w:rsidR="009C7113" w:rsidRPr="00D723FF" w:rsidRDefault="009C7113" w:rsidP="00D723FF">
      <w:pPr>
        <w:spacing w:line="360" w:lineRule="auto"/>
        <w:jc w:val="both"/>
        <w:rPr>
          <w:lang w:val="en-US" w:eastAsia="en-US"/>
        </w:rPr>
      </w:pPr>
    </w:p>
    <w:p w14:paraId="669515EB" w14:textId="7D9086C4" w:rsidR="00134EC3" w:rsidRPr="00D723FF" w:rsidRDefault="00134EC3" w:rsidP="00D723FF">
      <w:pPr>
        <w:spacing w:line="360" w:lineRule="auto"/>
        <w:jc w:val="both"/>
        <w:rPr>
          <w:lang w:val="en-US" w:eastAsia="en-US"/>
        </w:rPr>
      </w:pPr>
      <w:r w:rsidRPr="00D723FF">
        <w:rPr>
          <w:lang w:val="en-US" w:eastAsia="en-US"/>
        </w:rPr>
        <w:t xml:space="preserve">International jurisprudence has further clarified how these groups are to be identified. In </w:t>
      </w:r>
      <w:r w:rsidR="00BF44C4" w:rsidRPr="00D723FF">
        <w:rPr>
          <w:i/>
          <w:iCs/>
          <w:lang w:val="en-US" w:eastAsia="en-US"/>
        </w:rPr>
        <w:t xml:space="preserve">Prosecutor v. </w:t>
      </w:r>
      <w:proofErr w:type="spellStart"/>
      <w:r w:rsidRPr="00D723FF">
        <w:rPr>
          <w:i/>
          <w:iCs/>
          <w:lang w:val="en-US" w:eastAsia="en-US"/>
        </w:rPr>
        <w:t>Akayesu</w:t>
      </w:r>
      <w:proofErr w:type="spellEnd"/>
      <w:r w:rsidR="00BF44C4" w:rsidRPr="00D723FF">
        <w:rPr>
          <w:i/>
          <w:iCs/>
          <w:lang w:val="en-US" w:eastAsia="en-US"/>
        </w:rPr>
        <w:t xml:space="preserve"> </w:t>
      </w:r>
      <w:r w:rsidR="00BF44C4" w:rsidRPr="00D723FF">
        <w:rPr>
          <w:lang w:val="en-US" w:eastAsia="en-US"/>
        </w:rPr>
        <w:t>(</w:t>
      </w:r>
      <w:r w:rsidR="00826E54">
        <w:rPr>
          <w:lang w:val="en-US" w:eastAsia="en-US"/>
        </w:rPr>
        <w:t xml:space="preserve">hereafter: </w:t>
      </w:r>
      <w:r w:rsidR="00BF44C4" w:rsidRPr="00D723FF">
        <w:rPr>
          <w:lang w:val="en-US" w:eastAsia="en-US"/>
        </w:rPr>
        <w:t>‘</w:t>
      </w:r>
      <w:proofErr w:type="spellStart"/>
      <w:r w:rsidR="00BF44C4" w:rsidRPr="00D723FF">
        <w:rPr>
          <w:i/>
          <w:iCs/>
          <w:lang w:val="en-US" w:eastAsia="en-US"/>
        </w:rPr>
        <w:t>Akayesu</w:t>
      </w:r>
      <w:proofErr w:type="spellEnd"/>
      <w:r w:rsidR="00BF44C4" w:rsidRPr="00D723FF">
        <w:rPr>
          <w:lang w:val="en-US" w:eastAsia="en-US"/>
        </w:rPr>
        <w:t>’),</w:t>
      </w:r>
      <w:r w:rsidRPr="00D723FF">
        <w:rPr>
          <w:lang w:val="en-US" w:eastAsia="en-US"/>
        </w:rPr>
        <w:t xml:space="preserve"> the </w:t>
      </w:r>
      <w:r w:rsidR="00D65CD4" w:rsidRPr="00D723FF">
        <w:rPr>
          <w:lang w:val="en-US" w:eastAsia="en-US"/>
        </w:rPr>
        <w:t>ICTR</w:t>
      </w:r>
      <w:r w:rsidRPr="00D723FF">
        <w:rPr>
          <w:lang w:val="en-US" w:eastAsia="en-US"/>
        </w:rPr>
        <w:t xml:space="preserve"> held that protected groups are generally characterized by stable and permanent features, but may also be identified through the perception of the perpetrators.</w:t>
      </w:r>
      <w:r w:rsidR="00D9588A" w:rsidRPr="00D723FF">
        <w:rPr>
          <w:rStyle w:val="Voetnootmarkering"/>
          <w:lang w:val="en-US" w:eastAsia="en-US"/>
        </w:rPr>
        <w:footnoteReference w:id="44"/>
      </w:r>
      <w:r w:rsidRPr="00D723FF">
        <w:rPr>
          <w:lang w:val="en-US" w:eastAsia="en-US"/>
        </w:rPr>
        <w:t xml:space="preserve"> This approach was confirmed </w:t>
      </w:r>
      <w:r w:rsidR="008F4368" w:rsidRPr="00D723FF">
        <w:rPr>
          <w:lang w:val="en-US" w:eastAsia="en-US"/>
        </w:rPr>
        <w:t xml:space="preserve">in cases </w:t>
      </w:r>
      <w:r w:rsidRPr="00D723FF">
        <w:rPr>
          <w:lang w:val="en-US" w:eastAsia="en-US"/>
        </w:rPr>
        <w:t>where the determination of a protected group depended in part on its social construction within a particular context.</w:t>
      </w:r>
      <w:r w:rsidR="008F4368" w:rsidRPr="00D723FF">
        <w:rPr>
          <w:rStyle w:val="Voetnootmarkering"/>
          <w:lang w:val="en-US" w:eastAsia="en-US"/>
        </w:rPr>
        <w:footnoteReference w:id="45"/>
      </w:r>
      <w:r w:rsidR="00D9588A" w:rsidRPr="00D723FF">
        <w:rPr>
          <w:lang w:val="en-US" w:eastAsia="en-US"/>
        </w:rPr>
        <w:tab/>
      </w:r>
      <w:r w:rsidR="006F2C64" w:rsidRPr="00D723FF">
        <w:rPr>
          <w:lang w:val="en-US" w:eastAsia="en-US"/>
        </w:rPr>
        <w:br/>
      </w:r>
    </w:p>
    <w:p w14:paraId="7229642E" w14:textId="53DE0DEB" w:rsidR="001B1900" w:rsidRPr="00D723FF" w:rsidRDefault="00056D6B" w:rsidP="00D723FF">
      <w:pPr>
        <w:spacing w:line="360" w:lineRule="auto"/>
        <w:jc w:val="both"/>
        <w:rPr>
          <w:lang w:val="en-US" w:eastAsia="en-US"/>
        </w:rPr>
      </w:pPr>
      <w:r w:rsidRPr="00D723FF">
        <w:rPr>
          <w:lang w:val="en-US" w:eastAsia="en-US"/>
        </w:rPr>
        <w:t xml:space="preserve">In addition, the requirement that genocidal acts be directed against the group </w:t>
      </w:r>
      <w:r w:rsidR="00BF44C4" w:rsidRPr="00D723FF">
        <w:rPr>
          <w:lang w:val="en-US" w:eastAsia="en-US"/>
        </w:rPr>
        <w:t>‘</w:t>
      </w:r>
      <w:r w:rsidRPr="00D723FF">
        <w:rPr>
          <w:lang w:val="en-US" w:eastAsia="en-US"/>
        </w:rPr>
        <w:t>as such</w:t>
      </w:r>
      <w:r w:rsidR="00BF44C4" w:rsidRPr="00D723FF">
        <w:rPr>
          <w:lang w:val="en-US" w:eastAsia="en-US"/>
        </w:rPr>
        <w:t>’</w:t>
      </w:r>
      <w:r w:rsidRPr="00D723FF">
        <w:rPr>
          <w:lang w:val="en-US" w:eastAsia="en-US"/>
        </w:rPr>
        <w:t xml:space="preserve"> further refines the group element. As clarified in </w:t>
      </w:r>
      <w:r w:rsidRPr="00D723FF">
        <w:rPr>
          <w:i/>
          <w:iCs/>
          <w:lang w:val="en-US" w:eastAsia="en-US"/>
        </w:rPr>
        <w:t xml:space="preserve">Prosecutor v. </w:t>
      </w:r>
      <w:proofErr w:type="spellStart"/>
      <w:r w:rsidRPr="00D723FF">
        <w:rPr>
          <w:i/>
          <w:iCs/>
          <w:lang w:val="en-US" w:eastAsia="en-US"/>
        </w:rPr>
        <w:t>Niyitegeka</w:t>
      </w:r>
      <w:proofErr w:type="spellEnd"/>
      <w:r w:rsidR="00BF44C4" w:rsidRPr="00D723FF">
        <w:rPr>
          <w:lang w:val="en-US" w:eastAsia="en-US"/>
        </w:rPr>
        <w:t xml:space="preserve"> (</w:t>
      </w:r>
      <w:r w:rsidR="00826E54">
        <w:rPr>
          <w:lang w:val="en-US" w:eastAsia="en-US"/>
        </w:rPr>
        <w:t xml:space="preserve">hereafter: </w:t>
      </w:r>
      <w:r w:rsidR="00BF44C4" w:rsidRPr="00D723FF">
        <w:rPr>
          <w:lang w:val="en-US" w:eastAsia="en-US"/>
        </w:rPr>
        <w:t>‘</w:t>
      </w:r>
      <w:proofErr w:type="spellStart"/>
      <w:r w:rsidR="00BF44C4" w:rsidRPr="00D723FF">
        <w:rPr>
          <w:i/>
          <w:iCs/>
          <w:lang w:val="en-US" w:eastAsia="en-US"/>
        </w:rPr>
        <w:t>Niyitegeka</w:t>
      </w:r>
      <w:proofErr w:type="spellEnd"/>
      <w:r w:rsidR="00BF44C4" w:rsidRPr="00D723FF">
        <w:rPr>
          <w:lang w:val="en-US" w:eastAsia="en-US"/>
        </w:rPr>
        <w:t>’)</w:t>
      </w:r>
      <w:r w:rsidRPr="00D723FF">
        <w:rPr>
          <w:lang w:val="en-US" w:eastAsia="en-US"/>
        </w:rPr>
        <w:t>, this means that individuals must be targeted specifically because of their membership in the group.</w:t>
      </w:r>
      <w:r w:rsidRPr="00D723FF">
        <w:rPr>
          <w:rStyle w:val="Voetnootmarkering"/>
          <w:lang w:val="en-US" w:eastAsia="en-US"/>
        </w:rPr>
        <w:footnoteReference w:id="46"/>
      </w:r>
      <w:r w:rsidRPr="00D723FF">
        <w:rPr>
          <w:lang w:val="en-US" w:eastAsia="en-US"/>
        </w:rPr>
        <w:t xml:space="preserve"> </w:t>
      </w:r>
      <w:r w:rsidR="009C7113" w:rsidRPr="00D723FF">
        <w:rPr>
          <w:lang w:val="en-US" w:eastAsia="en-US"/>
        </w:rPr>
        <w:t xml:space="preserve">Cases </w:t>
      </w:r>
      <w:proofErr w:type="spellStart"/>
      <w:r w:rsidR="009C7113" w:rsidRPr="00D723FF">
        <w:rPr>
          <w:i/>
          <w:iCs/>
        </w:rPr>
        <w:t>Prosecutor</w:t>
      </w:r>
      <w:proofErr w:type="spellEnd"/>
      <w:r w:rsidR="009C7113" w:rsidRPr="00D723FF">
        <w:rPr>
          <w:i/>
          <w:iCs/>
        </w:rPr>
        <w:t xml:space="preserve"> v</w:t>
      </w:r>
      <w:r w:rsidR="009C7113" w:rsidRPr="00D723FF">
        <w:rPr>
          <w:i/>
          <w:iCs/>
          <w:lang w:val="en-US" w:eastAsia="en-US"/>
        </w:rPr>
        <w:t xml:space="preserve"> </w:t>
      </w:r>
      <w:proofErr w:type="spellStart"/>
      <w:r w:rsidR="00BF44C4" w:rsidRPr="00D723FF">
        <w:rPr>
          <w:i/>
          <w:iCs/>
          <w:lang w:val="en-US" w:eastAsia="en-US"/>
        </w:rPr>
        <w:t>Rutaganda</w:t>
      </w:r>
      <w:proofErr w:type="spellEnd"/>
      <w:r w:rsidR="00BF44C4" w:rsidRPr="00D723FF">
        <w:rPr>
          <w:lang w:val="en-US" w:eastAsia="en-US"/>
        </w:rPr>
        <w:t xml:space="preserve"> or </w:t>
      </w:r>
      <w:proofErr w:type="spellStart"/>
      <w:r w:rsidR="009C7113" w:rsidRPr="00D723FF">
        <w:rPr>
          <w:i/>
          <w:iCs/>
        </w:rPr>
        <w:t>Prosecutor</w:t>
      </w:r>
      <w:proofErr w:type="spellEnd"/>
      <w:r w:rsidR="009C7113" w:rsidRPr="00D723FF">
        <w:rPr>
          <w:i/>
          <w:iCs/>
        </w:rPr>
        <w:t xml:space="preserve"> v</w:t>
      </w:r>
      <w:r w:rsidR="009C7113" w:rsidRPr="00D723FF">
        <w:rPr>
          <w:i/>
          <w:iCs/>
          <w:lang w:val="en-US" w:eastAsia="en-US"/>
        </w:rPr>
        <w:t xml:space="preserve"> </w:t>
      </w:r>
      <w:proofErr w:type="spellStart"/>
      <w:r w:rsidR="00BF44C4" w:rsidRPr="00D723FF">
        <w:rPr>
          <w:i/>
          <w:iCs/>
          <w:lang w:val="en-US" w:eastAsia="en-US"/>
        </w:rPr>
        <w:t>Musema</w:t>
      </w:r>
      <w:proofErr w:type="spellEnd"/>
      <w:r w:rsidR="009C7113" w:rsidRPr="00D723FF">
        <w:rPr>
          <w:lang w:val="en-US" w:eastAsia="en-US"/>
        </w:rPr>
        <w:t xml:space="preserve"> </w:t>
      </w:r>
      <w:r w:rsidR="004C40CE" w:rsidRPr="00D723FF">
        <w:rPr>
          <w:lang w:val="en-US" w:eastAsia="en-US"/>
        </w:rPr>
        <w:t>affirm</w:t>
      </w:r>
      <w:r w:rsidR="00A124CA" w:rsidRPr="00D723FF">
        <w:rPr>
          <w:lang w:val="en-US" w:eastAsia="en-US"/>
        </w:rPr>
        <w:t>ed</w:t>
      </w:r>
      <w:r w:rsidR="009C7113" w:rsidRPr="00D723FF">
        <w:rPr>
          <w:lang w:val="en-US" w:eastAsia="en-US"/>
        </w:rPr>
        <w:t xml:space="preserve"> that</w:t>
      </w:r>
      <w:r w:rsidR="00BF44C4" w:rsidRPr="00D723FF">
        <w:rPr>
          <w:lang w:val="en-US" w:eastAsia="en-US"/>
        </w:rPr>
        <w:t xml:space="preserve"> the protected group itself constitutes the primary victim of genocide, rather than merely the individual members composing it</w:t>
      </w:r>
      <w:r w:rsidRPr="00D723FF">
        <w:rPr>
          <w:lang w:val="en-US" w:eastAsia="en-US"/>
        </w:rPr>
        <w:t>.</w:t>
      </w:r>
      <w:r w:rsidRPr="00D723FF">
        <w:rPr>
          <w:rStyle w:val="Voetnootmarkering"/>
          <w:lang w:val="en-US" w:eastAsia="en-US"/>
        </w:rPr>
        <w:footnoteReference w:id="47"/>
      </w:r>
      <w:r w:rsidRPr="00D723FF">
        <w:rPr>
          <w:lang w:val="en-US" w:eastAsia="en-US"/>
        </w:rPr>
        <w:t xml:space="preserve"> </w:t>
      </w:r>
      <w:r w:rsidR="00727DE4">
        <w:rPr>
          <w:lang w:val="en-US" w:eastAsia="en-US"/>
        </w:rPr>
        <w:br/>
      </w:r>
    </w:p>
    <w:p w14:paraId="6517B404" w14:textId="0706362D" w:rsidR="00096FE3" w:rsidRPr="00D723FF" w:rsidRDefault="00B2076C" w:rsidP="00D723FF">
      <w:pPr>
        <w:spacing w:line="360" w:lineRule="auto"/>
        <w:jc w:val="both"/>
        <w:rPr>
          <w:lang w:val="nl-BE"/>
        </w:rPr>
      </w:pPr>
      <w:r w:rsidRPr="00D723FF">
        <w:rPr>
          <w:lang w:val="en-US" w:eastAsia="en-US"/>
        </w:rPr>
        <w:t xml:space="preserve">This </w:t>
      </w:r>
      <w:r w:rsidR="00A124CA" w:rsidRPr="00D723FF">
        <w:rPr>
          <w:lang w:val="en-US" w:eastAsia="en-US"/>
        </w:rPr>
        <w:t>conceptualization</w:t>
      </w:r>
      <w:r w:rsidRPr="00D723FF">
        <w:rPr>
          <w:lang w:val="en-US" w:eastAsia="en-US"/>
        </w:rPr>
        <w:t xml:space="preserve"> of the group element is particularly relevant where environmental destruction is used as a method of warfare. The use of nature as a weapon</w:t>
      </w:r>
      <w:r w:rsidR="002B2746" w:rsidRPr="00D723FF">
        <w:rPr>
          <w:lang w:val="en-US" w:eastAsia="en-US"/>
        </w:rPr>
        <w:t xml:space="preserve"> </w:t>
      </w:r>
      <w:r w:rsidR="00013D57">
        <w:rPr>
          <w:lang w:val="en-US" w:eastAsia="en-US"/>
        </w:rPr>
        <w:t>-</w:t>
      </w:r>
      <w:r w:rsidRPr="00D723FF">
        <w:rPr>
          <w:lang w:val="en-US" w:eastAsia="en-US"/>
        </w:rPr>
        <w:t>such as the destruction of water sources, agricultural land, or livestock</w:t>
      </w:r>
      <w:r w:rsidR="00013D57">
        <w:rPr>
          <w:lang w:val="en-US" w:eastAsia="en-US"/>
        </w:rPr>
        <w:t>-</w:t>
      </w:r>
      <w:r w:rsidRPr="00D723FF">
        <w:rPr>
          <w:lang w:val="en-US" w:eastAsia="en-US"/>
        </w:rPr>
        <w:t xml:space="preserve"> may affect populations broadly, but </w:t>
      </w:r>
      <w:r w:rsidR="009C7113" w:rsidRPr="00D723FF">
        <w:rPr>
          <w:lang w:val="en-US" w:eastAsia="en-US"/>
        </w:rPr>
        <w:t>could</w:t>
      </w:r>
      <w:r w:rsidRPr="00D723FF">
        <w:rPr>
          <w:lang w:val="en-US" w:eastAsia="en-US"/>
        </w:rPr>
        <w:t xml:space="preserve"> only fall within the scope of genocide where it is directed against a protected group </w:t>
      </w:r>
      <w:r w:rsidR="00BF44C4" w:rsidRPr="00D723FF">
        <w:rPr>
          <w:lang w:val="en-US" w:eastAsia="en-US"/>
        </w:rPr>
        <w:t>‘</w:t>
      </w:r>
      <w:r w:rsidRPr="00D723FF">
        <w:rPr>
          <w:lang w:val="en-US" w:eastAsia="en-US"/>
        </w:rPr>
        <w:t>as such</w:t>
      </w:r>
      <w:r w:rsidR="00BF44C4" w:rsidRPr="00D723FF">
        <w:rPr>
          <w:lang w:val="en-US" w:eastAsia="en-US"/>
        </w:rPr>
        <w:t>’</w:t>
      </w:r>
      <w:r w:rsidRPr="00D723FF">
        <w:rPr>
          <w:lang w:val="en-US" w:eastAsia="en-US"/>
        </w:rPr>
        <w:t>.</w:t>
      </w:r>
      <w:r w:rsidR="00C8626A" w:rsidRPr="00D723FF">
        <w:rPr>
          <w:rStyle w:val="Voetnootmarkering"/>
          <w:lang w:val="en-US" w:eastAsia="en-US"/>
        </w:rPr>
        <w:t xml:space="preserve"> </w:t>
      </w:r>
      <w:r w:rsidR="00C8626A" w:rsidRPr="00D723FF">
        <w:rPr>
          <w:rStyle w:val="Voetnootmarkering"/>
          <w:lang w:val="en-US" w:eastAsia="en-US"/>
        </w:rPr>
        <w:footnoteReference w:id="48"/>
      </w:r>
      <w:r w:rsidR="00C8626A" w:rsidRPr="00D723FF">
        <w:rPr>
          <w:lang w:val="en-US" w:eastAsia="en-US"/>
        </w:rPr>
        <w:t xml:space="preserve"> </w:t>
      </w:r>
      <w:proofErr w:type="spellStart"/>
      <w:r w:rsidR="00A124CA" w:rsidRPr="00D723FF">
        <w:rPr>
          <w:lang w:eastAsia="en-US"/>
        </w:rPr>
        <w:t>Consequently</w:t>
      </w:r>
      <w:proofErr w:type="spellEnd"/>
      <w:r w:rsidR="00A124CA" w:rsidRPr="00D723FF">
        <w:rPr>
          <w:lang w:eastAsia="en-US"/>
        </w:rPr>
        <w:t xml:space="preserve">, the </w:t>
      </w:r>
      <w:proofErr w:type="spellStart"/>
      <w:r w:rsidR="00A124CA" w:rsidRPr="00D723FF">
        <w:rPr>
          <w:lang w:eastAsia="en-US"/>
        </w:rPr>
        <w:t>determinative</w:t>
      </w:r>
      <w:proofErr w:type="spellEnd"/>
      <w:r w:rsidR="00A124CA" w:rsidRPr="00D723FF">
        <w:rPr>
          <w:lang w:eastAsia="en-US"/>
        </w:rPr>
        <w:t xml:space="preserve"> issue </w:t>
      </w:r>
      <w:proofErr w:type="spellStart"/>
      <w:r w:rsidR="00A124CA" w:rsidRPr="00D723FF">
        <w:rPr>
          <w:lang w:eastAsia="en-US"/>
        </w:rPr>
        <w:t>is</w:t>
      </w:r>
      <w:proofErr w:type="spellEnd"/>
      <w:r w:rsidR="00A124CA" w:rsidRPr="00D723FF">
        <w:rPr>
          <w:lang w:val="en-US" w:eastAsia="en-US"/>
        </w:rPr>
        <w:t xml:space="preserve"> </w:t>
      </w:r>
      <w:proofErr w:type="spellStart"/>
      <w:r w:rsidR="00A124CA" w:rsidRPr="00D723FF">
        <w:rPr>
          <w:lang w:eastAsia="en-US"/>
        </w:rPr>
        <w:t>whether</w:t>
      </w:r>
      <w:proofErr w:type="spellEnd"/>
      <w:r w:rsidR="00A124CA" w:rsidRPr="00D723FF">
        <w:rPr>
          <w:lang w:eastAsia="en-US"/>
        </w:rPr>
        <w:t xml:space="preserve"> the </w:t>
      </w:r>
      <w:proofErr w:type="spellStart"/>
      <w:r w:rsidR="00A124CA" w:rsidRPr="00D723FF">
        <w:rPr>
          <w:lang w:eastAsia="en-US"/>
        </w:rPr>
        <w:t>harm</w:t>
      </w:r>
      <w:proofErr w:type="spellEnd"/>
      <w:r w:rsidR="00A124CA" w:rsidRPr="00D723FF">
        <w:rPr>
          <w:lang w:eastAsia="en-US"/>
        </w:rPr>
        <w:t xml:space="preserve"> </w:t>
      </w:r>
      <w:proofErr w:type="spellStart"/>
      <w:r w:rsidR="00A124CA" w:rsidRPr="00D723FF">
        <w:rPr>
          <w:lang w:eastAsia="en-US"/>
        </w:rPr>
        <w:t>is</w:t>
      </w:r>
      <w:proofErr w:type="spellEnd"/>
      <w:r w:rsidR="00A124CA" w:rsidRPr="00D723FF">
        <w:rPr>
          <w:lang w:eastAsia="en-US"/>
        </w:rPr>
        <w:t xml:space="preserve"> </w:t>
      </w:r>
      <w:proofErr w:type="spellStart"/>
      <w:r w:rsidR="00A124CA" w:rsidRPr="00D723FF">
        <w:rPr>
          <w:lang w:eastAsia="en-US"/>
        </w:rPr>
        <w:t>driven</w:t>
      </w:r>
      <w:proofErr w:type="spellEnd"/>
      <w:r w:rsidR="00A124CA" w:rsidRPr="00D723FF">
        <w:rPr>
          <w:lang w:eastAsia="en-US"/>
        </w:rPr>
        <w:t xml:space="preserve"> by the </w:t>
      </w:r>
      <w:proofErr w:type="spellStart"/>
      <w:r w:rsidR="00A124CA" w:rsidRPr="00D723FF">
        <w:rPr>
          <w:lang w:eastAsia="en-US"/>
        </w:rPr>
        <w:t>victims</w:t>
      </w:r>
      <w:proofErr w:type="spellEnd"/>
      <w:r w:rsidR="00A124CA" w:rsidRPr="00D723FF">
        <w:rPr>
          <w:lang w:eastAsia="en-US"/>
        </w:rPr>
        <w:t xml:space="preserve">' group </w:t>
      </w:r>
      <w:proofErr w:type="spellStart"/>
      <w:r w:rsidR="00A124CA" w:rsidRPr="00D723FF">
        <w:rPr>
          <w:lang w:eastAsia="en-US"/>
        </w:rPr>
        <w:t>identity</w:t>
      </w:r>
      <w:proofErr w:type="spellEnd"/>
      <w:r w:rsidRPr="00D723FF">
        <w:rPr>
          <w:lang w:val="en-US" w:eastAsia="en-US"/>
        </w:rPr>
        <w:t>.</w:t>
      </w:r>
      <w:r w:rsidR="00C8626A" w:rsidRPr="00D723FF">
        <w:rPr>
          <w:rStyle w:val="Voetnootmarkering"/>
          <w:lang w:val="en-US" w:eastAsia="en-US"/>
        </w:rPr>
        <w:footnoteReference w:id="49"/>
      </w:r>
      <w:r w:rsidR="006F50BD" w:rsidRPr="00D723FF">
        <w:rPr>
          <w:lang w:val="en-US" w:eastAsia="en-US"/>
        </w:rPr>
        <w:t xml:space="preserve"> The notion of </w:t>
      </w:r>
      <w:r w:rsidR="009C7113" w:rsidRPr="00D723FF">
        <w:rPr>
          <w:lang w:val="en-US" w:eastAsia="en-US"/>
        </w:rPr>
        <w:t>‘group’</w:t>
      </w:r>
      <w:r w:rsidR="006F50BD" w:rsidRPr="00D723FF">
        <w:rPr>
          <w:lang w:val="en-US" w:eastAsia="en-US"/>
        </w:rPr>
        <w:t xml:space="preserve"> under the Genocide Convention is generally interpreted with a degree of flexibility</w:t>
      </w:r>
      <w:r w:rsidR="00D85BF2" w:rsidRPr="00D723FF">
        <w:rPr>
          <w:lang w:val="en-US" w:eastAsia="en-US"/>
        </w:rPr>
        <w:t>, including indigenous peoples where they constitute ethnical, racial, or national groups within the meaning of Article II</w:t>
      </w:r>
      <w:r w:rsidR="006F50BD" w:rsidRPr="00D723FF">
        <w:rPr>
          <w:lang w:val="en-US" w:eastAsia="en-US"/>
        </w:rPr>
        <w:t>.</w:t>
      </w:r>
      <w:r w:rsidR="006F50BD" w:rsidRPr="00D723FF">
        <w:rPr>
          <w:rStyle w:val="Voetnootmarkering"/>
          <w:lang w:val="en-US" w:eastAsia="en-US"/>
        </w:rPr>
        <w:footnoteReference w:id="50"/>
      </w:r>
      <w:r w:rsidR="006F50BD" w:rsidRPr="00D723FF">
        <w:rPr>
          <w:lang w:val="en-US" w:eastAsia="en-US"/>
        </w:rPr>
        <w:t xml:space="preserve"> </w:t>
      </w:r>
      <w:r w:rsidR="006F2C64" w:rsidRPr="00D723FF">
        <w:rPr>
          <w:lang w:val="en-US" w:eastAsia="en-US"/>
        </w:rPr>
        <w:tab/>
      </w:r>
      <w:r w:rsidR="006F2C64" w:rsidRPr="00D723FF">
        <w:rPr>
          <w:lang w:val="en-US" w:eastAsia="en-US"/>
        </w:rPr>
        <w:br/>
      </w:r>
      <w:r w:rsidR="006F2C64" w:rsidRPr="00D723FF">
        <w:rPr>
          <w:lang w:val="en-US" w:eastAsia="en-US"/>
        </w:rPr>
        <w:br/>
      </w:r>
      <w:r w:rsidR="00292176">
        <w:rPr>
          <w:lang w:val="en-US" w:eastAsia="en-US"/>
        </w:rPr>
        <w:br/>
      </w:r>
      <w:r w:rsidRPr="00D723FF">
        <w:rPr>
          <w:lang w:val="en-US" w:eastAsia="en-US"/>
        </w:rPr>
        <w:lastRenderedPageBreak/>
        <w:t xml:space="preserve">This is illustrated in the </w:t>
      </w:r>
      <w:r w:rsidR="00C8626A" w:rsidRPr="00D723FF">
        <w:rPr>
          <w:lang w:val="en-US" w:eastAsia="en-US"/>
        </w:rPr>
        <w:t xml:space="preserve">earlier discussed </w:t>
      </w:r>
      <w:r w:rsidRPr="00D723FF">
        <w:rPr>
          <w:lang w:val="en-US" w:eastAsia="en-US"/>
        </w:rPr>
        <w:t>Darfur situation</w:t>
      </w:r>
      <w:r w:rsidR="00013D57">
        <w:rPr>
          <w:lang w:val="en-US" w:eastAsia="en-US"/>
        </w:rPr>
        <w:t>, in which</w:t>
      </w:r>
      <w:r w:rsidRPr="00D723FF">
        <w:rPr>
          <w:lang w:val="en-US" w:eastAsia="en-US"/>
        </w:rPr>
        <w:t xml:space="preserve"> it was alleged that the destruction of wells, crops, and livestock formed part of a broader campaign targeting specific ethnic groups</w:t>
      </w:r>
      <w:r w:rsidR="00C8626A" w:rsidRPr="00D723FF">
        <w:rPr>
          <w:lang w:val="en-US" w:eastAsia="en-US"/>
        </w:rPr>
        <w:t xml:space="preserve">, </w:t>
      </w:r>
      <w:r w:rsidR="00C8626A" w:rsidRPr="00D723FF">
        <w:rPr>
          <w:i/>
          <w:iCs/>
          <w:lang w:val="en-US" w:eastAsia="en-US"/>
        </w:rPr>
        <w:t xml:space="preserve">in </w:t>
      </w:r>
      <w:proofErr w:type="spellStart"/>
      <w:r w:rsidR="00C8626A" w:rsidRPr="00D723FF">
        <w:rPr>
          <w:i/>
          <w:iCs/>
          <w:lang w:val="en-US" w:eastAsia="en-US"/>
        </w:rPr>
        <w:t>casu</w:t>
      </w:r>
      <w:proofErr w:type="spellEnd"/>
      <w:r w:rsidR="00C8626A" w:rsidRPr="00D723FF">
        <w:rPr>
          <w:lang w:val="en-US" w:eastAsia="en-US"/>
        </w:rPr>
        <w:t xml:space="preserve"> the Fur, Masalit and Zaghawa.</w:t>
      </w:r>
      <w:r w:rsidR="00C8626A" w:rsidRPr="00D723FF">
        <w:rPr>
          <w:rStyle w:val="Voetnootmarkering"/>
          <w:lang w:val="en-US" w:eastAsia="en-US"/>
        </w:rPr>
        <w:footnoteReference w:id="51"/>
      </w:r>
      <w:r w:rsidRPr="00D723FF">
        <w:rPr>
          <w:lang w:val="en-US" w:eastAsia="en-US"/>
        </w:rPr>
        <w:t xml:space="preserve"> </w:t>
      </w:r>
      <w:r w:rsidR="00096FE3" w:rsidRPr="00D723FF">
        <w:rPr>
          <w:lang w:val="nl-BE"/>
        </w:rPr>
        <w:t>Where environmental harm is indiscriminate or primarily linked to military objectives, it will generally fall outside the scope of genocide. This demonstrates that environmental destruction only becomes relevant under the Genocide Convention where there is a specific focus on the protected group itself and where the destruction is used as a means of undermining the group’s survival.</w:t>
      </w:r>
      <w:r w:rsidR="00096FE3" w:rsidRPr="00D723FF">
        <w:rPr>
          <w:lang w:val="nl-BE"/>
        </w:rPr>
        <w:tab/>
      </w:r>
      <w:r w:rsidR="00096FE3" w:rsidRPr="00D723FF">
        <w:rPr>
          <w:lang w:val="nl-BE"/>
        </w:rPr>
        <w:br/>
      </w:r>
    </w:p>
    <w:p w14:paraId="7E68BA89" w14:textId="3A898A01" w:rsidR="00496078" w:rsidRPr="00D723FF" w:rsidRDefault="00E42EA7" w:rsidP="00D723FF">
      <w:pPr>
        <w:pStyle w:val="Kop2"/>
        <w:spacing w:line="360" w:lineRule="auto"/>
        <w:rPr>
          <w:rFonts w:ascii="Times New Roman" w:hAnsi="Times New Roman" w:cs="Times New Roman"/>
          <w:lang w:val="en-US" w:eastAsia="en-US"/>
        </w:rPr>
      </w:pPr>
      <w:bookmarkStart w:id="13" w:name="_Toc230376188"/>
      <w:r w:rsidRPr="00D723FF">
        <w:rPr>
          <w:rFonts w:ascii="Times New Roman" w:hAnsi="Times New Roman" w:cs="Times New Roman"/>
          <w:lang w:val="en-US" w:eastAsia="en-US"/>
        </w:rPr>
        <w:t xml:space="preserve">1.3. Genocide as a </w:t>
      </w:r>
      <w:r w:rsidRPr="00D723FF">
        <w:rPr>
          <w:rFonts w:ascii="Times New Roman" w:hAnsi="Times New Roman" w:cs="Times New Roman"/>
          <w:i/>
          <w:iCs/>
          <w:lang w:val="en-US" w:eastAsia="en-US"/>
        </w:rPr>
        <w:t>jus cogens</w:t>
      </w:r>
      <w:r w:rsidRPr="00D723FF">
        <w:rPr>
          <w:rFonts w:ascii="Times New Roman" w:hAnsi="Times New Roman" w:cs="Times New Roman"/>
          <w:lang w:val="en-US" w:eastAsia="en-US"/>
        </w:rPr>
        <w:t xml:space="preserve"> norm and its legal consequences</w:t>
      </w:r>
      <w:bookmarkEnd w:id="13"/>
      <w:r w:rsidR="00F47D73" w:rsidRPr="00D723FF">
        <w:rPr>
          <w:rFonts w:ascii="Times New Roman" w:hAnsi="Times New Roman" w:cs="Times New Roman"/>
          <w:lang w:val="en-US"/>
        </w:rPr>
        <w:tab/>
      </w:r>
    </w:p>
    <w:p w14:paraId="332D65D0" w14:textId="1A5E4727" w:rsidR="00E42EA7" w:rsidRPr="00D723FF" w:rsidRDefault="00496078" w:rsidP="00D723FF">
      <w:pPr>
        <w:spacing w:line="360" w:lineRule="auto"/>
        <w:jc w:val="both"/>
      </w:pPr>
      <w:r w:rsidRPr="00D723FF">
        <w:rPr>
          <w:lang w:val="en-US"/>
        </w:rPr>
        <w:t>Genocide occupies a unique position as a peremptory norm of international law (</w:t>
      </w:r>
      <w:r w:rsidRPr="00D723FF">
        <w:rPr>
          <w:i/>
          <w:iCs/>
          <w:lang w:val="en-US"/>
        </w:rPr>
        <w:t>jus cogens</w:t>
      </w:r>
      <w:r w:rsidRPr="00D723FF">
        <w:rPr>
          <w:lang w:val="en-US"/>
        </w:rPr>
        <w:t xml:space="preserve">), giving rise to obligations owed </w:t>
      </w:r>
      <w:proofErr w:type="spellStart"/>
      <w:r w:rsidRPr="00D723FF">
        <w:rPr>
          <w:i/>
          <w:iCs/>
          <w:lang w:val="en-US"/>
        </w:rPr>
        <w:t>erga</w:t>
      </w:r>
      <w:proofErr w:type="spellEnd"/>
      <w:r w:rsidRPr="00D723FF">
        <w:rPr>
          <w:i/>
          <w:iCs/>
          <w:lang w:val="en-US"/>
        </w:rPr>
        <w:t xml:space="preserve"> omnes</w:t>
      </w:r>
      <w:r w:rsidRPr="00D723FF">
        <w:rPr>
          <w:lang w:val="en-US"/>
        </w:rPr>
        <w:t xml:space="preserve"> and triggering heightened duties of prevention and punishment.</w:t>
      </w:r>
      <w:r w:rsidRPr="00D723FF">
        <w:rPr>
          <w:rStyle w:val="Voetnootmarkering"/>
          <w:lang w:val="en-US" w:eastAsia="en-US"/>
        </w:rPr>
        <w:footnoteReference w:id="52"/>
      </w:r>
      <w:r w:rsidRPr="00D723FF">
        <w:rPr>
          <w:rStyle w:val="Voetnootmarkering"/>
          <w:lang w:val="en-US" w:eastAsia="en-US"/>
        </w:rPr>
        <w:t xml:space="preserve"> </w:t>
      </w:r>
      <w:r w:rsidRPr="00D723FF">
        <w:rPr>
          <w:lang w:val="en-US"/>
        </w:rPr>
        <w:t>Th</w:t>
      </w:r>
      <w:r w:rsidR="00AD484A" w:rsidRPr="00D723FF">
        <w:rPr>
          <w:lang w:val="en-US"/>
        </w:rPr>
        <w:t xml:space="preserve">e principle of </w:t>
      </w:r>
      <w:r w:rsidR="00AD484A" w:rsidRPr="00D723FF">
        <w:rPr>
          <w:i/>
          <w:iCs/>
          <w:lang w:val="en-US"/>
        </w:rPr>
        <w:t>jus cogens</w:t>
      </w:r>
      <w:r w:rsidRPr="00D723FF">
        <w:rPr>
          <w:lang w:val="en-US"/>
        </w:rPr>
        <w:t xml:space="preserve"> is adopted in </w:t>
      </w:r>
      <w:r w:rsidR="008A6258" w:rsidRPr="00D723FF">
        <w:rPr>
          <w:lang w:val="en-US"/>
        </w:rPr>
        <w:t>Article</w:t>
      </w:r>
      <w:r w:rsidRPr="00D723FF">
        <w:rPr>
          <w:lang w:val="en-US"/>
        </w:rPr>
        <w:t xml:space="preserve"> 53 of the Vienna Convention on the Law of Treaties</w:t>
      </w:r>
      <w:r w:rsidR="00AD484A" w:rsidRPr="00D723FF">
        <w:rPr>
          <w:lang w:val="en-US"/>
        </w:rPr>
        <w:t xml:space="preserve"> (</w:t>
      </w:r>
      <w:r w:rsidR="00FF609C">
        <w:rPr>
          <w:lang w:val="en-US"/>
        </w:rPr>
        <w:t xml:space="preserve">hereafter: </w:t>
      </w:r>
      <w:r w:rsidR="00AD484A" w:rsidRPr="00D723FF">
        <w:rPr>
          <w:lang w:val="en-US"/>
        </w:rPr>
        <w:t>‘VCLT’)</w:t>
      </w:r>
      <w:r w:rsidRPr="00D723FF">
        <w:rPr>
          <w:lang w:val="en-US"/>
        </w:rPr>
        <w:t>.</w:t>
      </w:r>
      <w:r w:rsidRPr="00D723FF">
        <w:rPr>
          <w:rStyle w:val="Voetnootmarkering"/>
          <w:lang w:val="en-US" w:eastAsia="en-US"/>
        </w:rPr>
        <w:footnoteReference w:id="53"/>
      </w:r>
      <w:r w:rsidRPr="00D723FF">
        <w:rPr>
          <w:rStyle w:val="Voetnootmarkering"/>
          <w:sz w:val="28"/>
          <w:szCs w:val="28"/>
          <w:lang w:val="en-US" w:eastAsia="en-US"/>
        </w:rPr>
        <w:t xml:space="preserve"> </w:t>
      </w:r>
      <w:r w:rsidRPr="00D723FF">
        <w:rPr>
          <w:lang w:val="en-US"/>
        </w:rPr>
        <w:t xml:space="preserve">The prohibition of genocide has been affirmed as </w:t>
      </w:r>
      <w:r w:rsidRPr="00D723FF">
        <w:rPr>
          <w:i/>
          <w:iCs/>
          <w:lang w:val="en-US"/>
        </w:rPr>
        <w:t>jus cogens</w:t>
      </w:r>
      <w:r w:rsidRPr="00D723FF">
        <w:rPr>
          <w:lang w:val="en-US"/>
        </w:rPr>
        <w:t xml:space="preserve"> in international jurisprudence and doctrine, reflecting its fundamental importance to the international community as a whole.</w:t>
      </w:r>
      <w:r w:rsidRPr="00D723FF">
        <w:rPr>
          <w:rStyle w:val="Voetnootmarkering"/>
          <w:lang w:val="en-US" w:eastAsia="en-US"/>
        </w:rPr>
        <w:footnoteReference w:id="54"/>
      </w:r>
      <w:r w:rsidR="00AD484A" w:rsidRPr="00D723FF">
        <w:rPr>
          <w:lang w:val="en-US" w:eastAsia="en-US"/>
        </w:rPr>
        <w:t xml:space="preserve"> </w:t>
      </w:r>
      <w:r w:rsidR="00AD484A" w:rsidRPr="00D723FF">
        <w:t xml:space="preserve">This entails </w:t>
      </w:r>
      <w:proofErr w:type="spellStart"/>
      <w:r w:rsidR="00AD484A" w:rsidRPr="00D723FF">
        <w:t>that</w:t>
      </w:r>
      <w:proofErr w:type="spellEnd"/>
      <w:r w:rsidR="00AD484A" w:rsidRPr="00D723FF">
        <w:t xml:space="preserve"> states are not </w:t>
      </w:r>
      <w:proofErr w:type="spellStart"/>
      <w:r w:rsidR="00AD484A" w:rsidRPr="00D723FF">
        <w:t>only</w:t>
      </w:r>
      <w:proofErr w:type="spellEnd"/>
      <w:r w:rsidR="00AD484A" w:rsidRPr="00D723FF">
        <w:t xml:space="preserve"> </w:t>
      </w:r>
      <w:proofErr w:type="spellStart"/>
      <w:r w:rsidR="00AD484A" w:rsidRPr="00D723FF">
        <w:t>prohibited</w:t>
      </w:r>
      <w:proofErr w:type="spellEnd"/>
      <w:r w:rsidR="00AD484A" w:rsidRPr="00D723FF">
        <w:t xml:space="preserve"> </w:t>
      </w:r>
      <w:proofErr w:type="spellStart"/>
      <w:r w:rsidR="00AD484A" w:rsidRPr="00D723FF">
        <w:t>from</w:t>
      </w:r>
      <w:proofErr w:type="spellEnd"/>
      <w:r w:rsidR="00AD484A" w:rsidRPr="00D723FF">
        <w:t xml:space="preserve"> </w:t>
      </w:r>
      <w:proofErr w:type="spellStart"/>
      <w:r w:rsidR="00AD484A" w:rsidRPr="00D723FF">
        <w:t>committing</w:t>
      </w:r>
      <w:proofErr w:type="spellEnd"/>
      <w:r w:rsidR="00AD484A" w:rsidRPr="00D723FF">
        <w:t xml:space="preserve"> </w:t>
      </w:r>
      <w:proofErr w:type="spellStart"/>
      <w:r w:rsidR="00AD484A" w:rsidRPr="00D723FF">
        <w:t>genocide</w:t>
      </w:r>
      <w:proofErr w:type="spellEnd"/>
      <w:r w:rsidR="00AD484A" w:rsidRPr="00D723FF">
        <w:t xml:space="preserve">, but are </w:t>
      </w:r>
      <w:proofErr w:type="spellStart"/>
      <w:r w:rsidR="00AD484A" w:rsidRPr="00D723FF">
        <w:t>also</w:t>
      </w:r>
      <w:proofErr w:type="spellEnd"/>
      <w:r w:rsidR="00AD484A" w:rsidRPr="00D723FF">
        <w:t xml:space="preserve"> </w:t>
      </w:r>
      <w:proofErr w:type="spellStart"/>
      <w:r w:rsidR="00AD484A" w:rsidRPr="00D723FF">
        <w:t>under</w:t>
      </w:r>
      <w:proofErr w:type="spellEnd"/>
      <w:r w:rsidR="00AD484A" w:rsidRPr="00D723FF">
        <w:t xml:space="preserve"> a </w:t>
      </w:r>
      <w:proofErr w:type="spellStart"/>
      <w:r w:rsidR="00AD484A" w:rsidRPr="00D723FF">
        <w:t>duty</w:t>
      </w:r>
      <w:proofErr w:type="spellEnd"/>
      <w:r w:rsidR="00AD484A" w:rsidRPr="00D723FF">
        <w:t xml:space="preserve"> to </w:t>
      </w:r>
      <w:proofErr w:type="spellStart"/>
      <w:r w:rsidR="00AD484A" w:rsidRPr="00D723FF">
        <w:t>prevent</w:t>
      </w:r>
      <w:proofErr w:type="spellEnd"/>
      <w:r w:rsidR="00AD484A" w:rsidRPr="00D723FF">
        <w:t xml:space="preserve"> and </w:t>
      </w:r>
      <w:proofErr w:type="spellStart"/>
      <w:r w:rsidR="00AD484A" w:rsidRPr="00D723FF">
        <w:t>punish</w:t>
      </w:r>
      <w:proofErr w:type="spellEnd"/>
      <w:r w:rsidR="00AD484A" w:rsidRPr="00D723FF">
        <w:t xml:space="preserve"> </w:t>
      </w:r>
      <w:proofErr w:type="spellStart"/>
      <w:r w:rsidR="00AD484A" w:rsidRPr="00D723FF">
        <w:t>it</w:t>
      </w:r>
      <w:proofErr w:type="spellEnd"/>
      <w:r w:rsidR="00AD484A" w:rsidRPr="00D723FF">
        <w:t>.</w:t>
      </w:r>
      <w:r w:rsidR="00AD484A" w:rsidRPr="00D723FF">
        <w:rPr>
          <w:rStyle w:val="Voetnootmarkering"/>
        </w:rPr>
        <w:footnoteReference w:id="55"/>
      </w:r>
      <w:r w:rsidR="008A6258" w:rsidRPr="00D723FF">
        <w:tab/>
      </w:r>
      <w:r w:rsidRPr="00D723FF">
        <w:rPr>
          <w:lang w:val="en-US" w:eastAsia="en-US"/>
        </w:rPr>
        <w:br/>
      </w:r>
      <w:r w:rsidRPr="00D723FF">
        <w:rPr>
          <w:lang w:val="en-US" w:eastAsia="en-US"/>
        </w:rPr>
        <w:br/>
      </w:r>
      <w:r w:rsidR="00A124CA" w:rsidRPr="00D723FF">
        <w:rPr>
          <w:lang w:val="en-US"/>
        </w:rPr>
        <w:t>In addition to</w:t>
      </w:r>
      <w:r w:rsidR="00AD484A" w:rsidRPr="00D723FF">
        <w:rPr>
          <w:lang w:val="en-US"/>
        </w:rPr>
        <w:t xml:space="preserve"> its status as a </w:t>
      </w:r>
      <w:r w:rsidR="00AD484A" w:rsidRPr="00D723FF">
        <w:rPr>
          <w:i/>
          <w:iCs/>
          <w:lang w:val="en-US"/>
        </w:rPr>
        <w:t>jus cogens</w:t>
      </w:r>
      <w:r w:rsidR="00AD484A" w:rsidRPr="00D723FF">
        <w:rPr>
          <w:lang w:val="en-US"/>
        </w:rPr>
        <w:t xml:space="preserve"> norm, the prohibition of genocide also gives rise to obligations </w:t>
      </w:r>
      <w:proofErr w:type="spellStart"/>
      <w:r w:rsidR="00AD484A" w:rsidRPr="00D723FF">
        <w:rPr>
          <w:i/>
          <w:iCs/>
          <w:lang w:val="en-US"/>
        </w:rPr>
        <w:t>erga</w:t>
      </w:r>
      <w:proofErr w:type="spellEnd"/>
      <w:r w:rsidR="00AD484A" w:rsidRPr="00D723FF">
        <w:rPr>
          <w:i/>
          <w:iCs/>
          <w:lang w:val="en-US"/>
        </w:rPr>
        <w:t xml:space="preserve"> omnes</w:t>
      </w:r>
      <w:r w:rsidR="00AD484A" w:rsidRPr="00D723FF">
        <w:rPr>
          <w:lang w:val="en-US"/>
        </w:rPr>
        <w:t xml:space="preserve">, </w:t>
      </w:r>
      <w:r w:rsidR="00A124CA" w:rsidRPr="00D723FF">
        <w:rPr>
          <w:lang w:val="en-US"/>
        </w:rPr>
        <w:t>signifying</w:t>
      </w:r>
      <w:r w:rsidR="00C5318D" w:rsidRPr="00D723FF">
        <w:rPr>
          <w:lang w:val="en-US"/>
        </w:rPr>
        <w:t xml:space="preserve"> that all states have a legal interest in its protection</w:t>
      </w:r>
      <w:r w:rsidR="00E42EA7" w:rsidRPr="00D723FF">
        <w:rPr>
          <w:lang w:val="en-US" w:eastAsia="en-US"/>
        </w:rPr>
        <w:t>.</w:t>
      </w:r>
      <w:r w:rsidR="002E5203" w:rsidRPr="00D723FF">
        <w:rPr>
          <w:rStyle w:val="Voetnootmarkering"/>
          <w:lang w:val="en-US" w:eastAsia="en-US"/>
        </w:rPr>
        <w:footnoteReference w:id="56"/>
      </w:r>
      <w:r w:rsidR="002E5203" w:rsidRPr="00D723FF">
        <w:rPr>
          <w:lang w:val="en-US" w:eastAsia="en-US"/>
        </w:rPr>
        <w:t xml:space="preserve"> </w:t>
      </w:r>
      <w:r w:rsidR="00727DE4">
        <w:rPr>
          <w:lang w:val="en-US" w:eastAsia="en-US"/>
        </w:rPr>
        <w:tab/>
      </w:r>
      <w:r w:rsidR="00727DE4">
        <w:rPr>
          <w:lang w:val="en-US" w:eastAsia="en-US"/>
        </w:rPr>
        <w:br/>
      </w:r>
      <w:r w:rsidR="00E757B1" w:rsidRPr="00D723FF">
        <w:rPr>
          <w:lang w:val="en-US"/>
        </w:rPr>
        <w:lastRenderedPageBreak/>
        <w:t>Th</w:t>
      </w:r>
      <w:r w:rsidR="00A124CA" w:rsidRPr="00D723FF">
        <w:rPr>
          <w:lang w:val="en-US"/>
        </w:rPr>
        <w:t>is</w:t>
      </w:r>
      <w:r w:rsidR="00E757B1" w:rsidRPr="00D723FF">
        <w:rPr>
          <w:lang w:val="en-US"/>
        </w:rPr>
        <w:t xml:space="preserve"> exceptional </w:t>
      </w:r>
      <w:r w:rsidR="000D5B73" w:rsidRPr="00D723FF">
        <w:rPr>
          <w:lang w:val="en-US"/>
        </w:rPr>
        <w:t xml:space="preserve">character of genocide </w:t>
      </w:r>
      <w:r w:rsidR="00E757B1" w:rsidRPr="00D723FF">
        <w:rPr>
          <w:lang w:val="en-US"/>
        </w:rPr>
        <w:t xml:space="preserve">is further reflected </w:t>
      </w:r>
      <w:r w:rsidR="00D26115" w:rsidRPr="00D723FF">
        <w:rPr>
          <w:lang w:val="en-US"/>
        </w:rPr>
        <w:t>in Article I of the Genocide Convention, which obliges states not only to refrain from committing genocide, but also to prevent and punish it</w:t>
      </w:r>
      <w:r w:rsidR="00E42EA7" w:rsidRPr="00D723FF">
        <w:rPr>
          <w:lang w:val="en-US" w:eastAsia="en-US"/>
        </w:rPr>
        <w:t>.</w:t>
      </w:r>
      <w:r w:rsidR="00532F3E" w:rsidRPr="00D723FF">
        <w:rPr>
          <w:rStyle w:val="Voetnootmarkering"/>
          <w:lang w:val="en-US" w:eastAsia="en-US"/>
        </w:rPr>
        <w:footnoteReference w:id="57"/>
      </w:r>
      <w:r w:rsidR="00532F3E" w:rsidRPr="00D723FF">
        <w:rPr>
          <w:lang w:val="en-US" w:eastAsia="en-US"/>
        </w:rPr>
        <w:t xml:space="preserve"> </w:t>
      </w:r>
      <w:r w:rsidR="006F2C64" w:rsidRPr="00D723FF">
        <w:rPr>
          <w:lang w:val="en-US" w:eastAsia="en-US"/>
        </w:rPr>
        <w:tab/>
      </w:r>
      <w:r w:rsidR="00A124CA" w:rsidRPr="00D723FF">
        <w:rPr>
          <w:lang w:val="en-US" w:eastAsia="en-US"/>
        </w:rPr>
        <w:br/>
      </w:r>
    </w:p>
    <w:p w14:paraId="4EBB9F3D" w14:textId="2DDC6BC6" w:rsidR="00663EC5" w:rsidRPr="00D723FF" w:rsidRDefault="00EF20D2" w:rsidP="00EF356D">
      <w:pPr>
        <w:spacing w:line="360" w:lineRule="auto"/>
        <w:jc w:val="both"/>
        <w:rPr>
          <w:lang w:val="en-US" w:eastAsia="en-US"/>
        </w:rPr>
      </w:pPr>
      <w:r w:rsidRPr="00D723FF">
        <w:rPr>
          <w:lang w:val="en-US" w:eastAsia="en-US"/>
        </w:rPr>
        <w:t>Th</w:t>
      </w:r>
      <w:r w:rsidR="00AD484A" w:rsidRPr="00D723FF">
        <w:rPr>
          <w:lang w:val="en-US" w:eastAsia="en-US"/>
        </w:rPr>
        <w:t xml:space="preserve">is exceptional character </w:t>
      </w:r>
      <w:r w:rsidRPr="00D723FF">
        <w:rPr>
          <w:lang w:val="en-US" w:eastAsia="en-US"/>
        </w:rPr>
        <w:t xml:space="preserve">of the prohibition of genocide remains highly relevant in contemporary </w:t>
      </w:r>
      <w:r w:rsidR="00BE3E42" w:rsidRPr="00D723FF">
        <w:rPr>
          <w:lang w:val="en-US" w:eastAsia="en-US"/>
        </w:rPr>
        <w:t>i</w:t>
      </w:r>
      <w:r w:rsidRPr="00D723FF">
        <w:rPr>
          <w:lang w:val="en-US" w:eastAsia="en-US"/>
        </w:rPr>
        <w:t xml:space="preserve">nternational </w:t>
      </w:r>
      <w:r w:rsidR="00BE3E42" w:rsidRPr="00D723FF">
        <w:rPr>
          <w:lang w:val="en-US" w:eastAsia="en-US"/>
        </w:rPr>
        <w:t>l</w:t>
      </w:r>
      <w:r w:rsidR="007851C7" w:rsidRPr="00D723FF">
        <w:rPr>
          <w:lang w:val="en-US" w:eastAsia="en-US"/>
        </w:rPr>
        <w:t>a</w:t>
      </w:r>
      <w:r w:rsidRPr="00D723FF">
        <w:rPr>
          <w:lang w:val="en-US" w:eastAsia="en-US"/>
        </w:rPr>
        <w:t>w. This is illustrated by recent proceedings before the I</w:t>
      </w:r>
      <w:r w:rsidR="000D5B73" w:rsidRPr="00D723FF">
        <w:rPr>
          <w:lang w:val="en-US" w:eastAsia="en-US"/>
        </w:rPr>
        <w:t xml:space="preserve">CJ </w:t>
      </w:r>
      <w:r w:rsidRPr="00D723FF">
        <w:rPr>
          <w:lang w:val="en-US" w:eastAsia="en-US"/>
        </w:rPr>
        <w:t xml:space="preserve">in </w:t>
      </w:r>
      <w:r w:rsidRPr="00D723FF">
        <w:rPr>
          <w:i/>
          <w:iCs/>
          <w:lang w:val="en-US" w:eastAsia="en-US"/>
        </w:rPr>
        <w:t>South Africa v Israel</w:t>
      </w:r>
      <w:r w:rsidRPr="00D723FF">
        <w:rPr>
          <w:lang w:val="en-US" w:eastAsia="en-US"/>
        </w:rPr>
        <w:t>, concerning allegations of genocide in the Gaza Strip.</w:t>
      </w:r>
      <w:r w:rsidRPr="00D723FF">
        <w:rPr>
          <w:rStyle w:val="Voetnootmarkering"/>
          <w:lang w:val="en-US" w:eastAsia="en-US"/>
        </w:rPr>
        <w:footnoteReference w:id="58"/>
      </w:r>
      <w:r w:rsidRPr="00D723FF">
        <w:rPr>
          <w:lang w:val="en-US" w:eastAsia="en-US"/>
        </w:rPr>
        <w:t xml:space="preserve"> In this case, South Africa invoked the obligations </w:t>
      </w:r>
      <w:proofErr w:type="spellStart"/>
      <w:r w:rsidRPr="00D723FF">
        <w:rPr>
          <w:i/>
          <w:iCs/>
          <w:lang w:val="en-US" w:eastAsia="en-US"/>
        </w:rPr>
        <w:t>erga</w:t>
      </w:r>
      <w:proofErr w:type="spellEnd"/>
      <w:r w:rsidRPr="00D723FF">
        <w:rPr>
          <w:i/>
          <w:iCs/>
          <w:lang w:val="en-US" w:eastAsia="en-US"/>
        </w:rPr>
        <w:t xml:space="preserve"> omnes</w:t>
      </w:r>
      <w:r w:rsidRPr="00D723FF">
        <w:rPr>
          <w:lang w:val="en-US" w:eastAsia="en-US"/>
        </w:rPr>
        <w:t xml:space="preserve"> under the Genocide Convention, arguing that all States Parties have a shared interest in ensuring compliance with the Convention.</w:t>
      </w:r>
      <w:r w:rsidRPr="00D723FF">
        <w:rPr>
          <w:rStyle w:val="Voetnootmarkering"/>
          <w:lang w:val="en-US" w:eastAsia="en-US"/>
        </w:rPr>
        <w:footnoteReference w:id="59"/>
      </w:r>
      <w:r w:rsidR="00A5371A" w:rsidRPr="00D723FF">
        <w:rPr>
          <w:lang w:val="en-US" w:eastAsia="en-US"/>
        </w:rPr>
        <w:t xml:space="preserve"> </w:t>
      </w:r>
      <w:r w:rsidR="004C40CE" w:rsidRPr="00D723FF">
        <w:rPr>
          <w:lang w:val="en-US" w:eastAsia="en-US"/>
        </w:rPr>
        <w:t>The case</w:t>
      </w:r>
      <w:r w:rsidRPr="00D723FF">
        <w:rPr>
          <w:lang w:val="en-US" w:eastAsia="en-US"/>
        </w:rPr>
        <w:t xml:space="preserve"> also highlights the practical implications of its </w:t>
      </w:r>
      <w:r w:rsidRPr="00D723FF">
        <w:rPr>
          <w:i/>
          <w:iCs/>
          <w:lang w:val="en-US" w:eastAsia="en-US"/>
        </w:rPr>
        <w:t>jus cogens</w:t>
      </w:r>
      <w:r w:rsidRPr="00D723FF">
        <w:rPr>
          <w:lang w:val="en-US" w:eastAsia="en-US"/>
        </w:rPr>
        <w:t xml:space="preserve"> character, </w:t>
      </w:r>
      <w:proofErr w:type="spellStart"/>
      <w:r w:rsidR="00A5371A" w:rsidRPr="00D723FF">
        <w:rPr>
          <w:lang w:val="en-US" w:eastAsia="en-US"/>
        </w:rPr>
        <w:t>specially</w:t>
      </w:r>
      <w:proofErr w:type="spellEnd"/>
      <w:r w:rsidRPr="00D723FF">
        <w:rPr>
          <w:lang w:val="en-US" w:eastAsia="en-US"/>
        </w:rPr>
        <w:t xml:space="preserve"> in relation to the duty to prevent genocide and the possibility for third states to bring claims before international courts.</w:t>
      </w:r>
      <w:r w:rsidR="00A5371A" w:rsidRPr="00D723FF">
        <w:rPr>
          <w:rStyle w:val="Voetnootmarkering"/>
          <w:lang w:val="en-US" w:eastAsia="en-US"/>
        </w:rPr>
        <w:footnoteReference w:id="60"/>
      </w:r>
      <w:r w:rsidR="00F47D73" w:rsidRPr="00D723FF">
        <w:rPr>
          <w:lang w:val="en-US" w:eastAsia="en-US"/>
        </w:rPr>
        <w:t xml:space="preserve"> So </w:t>
      </w:r>
      <w:r w:rsidR="00C443C5" w:rsidRPr="00D723FF">
        <w:rPr>
          <w:lang w:val="en-US" w:eastAsia="en-US"/>
        </w:rPr>
        <w:t xml:space="preserve">in </w:t>
      </w:r>
      <w:r w:rsidR="00F47D73" w:rsidRPr="00D723FF">
        <w:rPr>
          <w:lang w:val="en-US" w:eastAsia="en-US"/>
        </w:rPr>
        <w:t>case of an intentional targeting of resources essential for survival, such as water, food, or land, where it is directed against a protected group</w:t>
      </w:r>
      <w:r w:rsidR="00C443C5" w:rsidRPr="00D723FF">
        <w:rPr>
          <w:lang w:val="en-US" w:eastAsia="en-US"/>
        </w:rPr>
        <w:t xml:space="preserve">, </w:t>
      </w:r>
      <w:r w:rsidR="00F47D73" w:rsidRPr="00D723FF">
        <w:rPr>
          <w:lang w:val="en-US" w:eastAsia="en-US"/>
        </w:rPr>
        <w:t>the corresponding obligations extend beyond the directly affected state to the international community as a whole.</w:t>
      </w:r>
      <w:r w:rsidR="00727DE4">
        <w:rPr>
          <w:lang w:val="en-US" w:eastAsia="en-US"/>
        </w:rPr>
        <w:tab/>
      </w:r>
      <w:r w:rsidR="006F2C64" w:rsidRPr="00D723FF">
        <w:rPr>
          <w:lang w:val="en-US" w:eastAsia="en-US"/>
        </w:rPr>
        <w:br/>
      </w:r>
      <w:r w:rsidR="006F2C64" w:rsidRPr="00D723FF">
        <w:rPr>
          <w:lang w:val="en-US" w:eastAsia="en-US"/>
        </w:rPr>
        <w:br/>
      </w:r>
      <w:r w:rsidR="00663EC5" w:rsidRPr="00D723FF">
        <w:rPr>
          <w:lang w:val="en-US" w:eastAsia="en-US"/>
        </w:rPr>
        <w:t xml:space="preserve">For the purposes of this research, the relevance of the </w:t>
      </w:r>
      <w:r w:rsidR="00663EC5" w:rsidRPr="00D723FF">
        <w:rPr>
          <w:i/>
          <w:iCs/>
          <w:lang w:val="en-US" w:eastAsia="en-US"/>
        </w:rPr>
        <w:t>jus cogens</w:t>
      </w:r>
      <w:r w:rsidR="00663EC5" w:rsidRPr="00D723FF">
        <w:rPr>
          <w:lang w:val="en-US" w:eastAsia="en-US"/>
        </w:rPr>
        <w:t xml:space="preserve"> and </w:t>
      </w:r>
      <w:proofErr w:type="spellStart"/>
      <w:r w:rsidR="00663EC5" w:rsidRPr="00D723FF">
        <w:rPr>
          <w:i/>
          <w:iCs/>
          <w:lang w:val="en-US" w:eastAsia="en-US"/>
        </w:rPr>
        <w:t>erga</w:t>
      </w:r>
      <w:proofErr w:type="spellEnd"/>
      <w:r w:rsidR="00663EC5" w:rsidRPr="00D723FF">
        <w:rPr>
          <w:i/>
          <w:iCs/>
          <w:lang w:val="en-US" w:eastAsia="en-US"/>
        </w:rPr>
        <w:t xml:space="preserve"> omnes</w:t>
      </w:r>
      <w:r w:rsidR="00663EC5" w:rsidRPr="00D723FF">
        <w:rPr>
          <w:lang w:val="en-US" w:eastAsia="en-US"/>
        </w:rPr>
        <w:t xml:space="preserve"> character of the prohibition of genocide lies in the exceptional gravity and symbolic force attached to it.</w:t>
      </w:r>
      <w:r w:rsidR="00D77106" w:rsidRPr="00D723FF">
        <w:rPr>
          <w:rStyle w:val="Voetnootmarkering"/>
          <w:lang w:val="en-US" w:eastAsia="en-US"/>
        </w:rPr>
        <w:footnoteReference w:id="61"/>
      </w:r>
      <w:r w:rsidR="00663EC5" w:rsidRPr="00D723FF">
        <w:rPr>
          <w:lang w:val="en-US" w:eastAsia="en-US"/>
        </w:rPr>
        <w:t xml:space="preserve"> </w:t>
      </w:r>
      <w:r w:rsidR="00803652" w:rsidRPr="00D723FF">
        <w:t xml:space="preserve">This </w:t>
      </w:r>
      <w:proofErr w:type="spellStart"/>
      <w:r w:rsidR="00803652" w:rsidRPr="00D723FF">
        <w:t>is</w:t>
      </w:r>
      <w:proofErr w:type="spellEnd"/>
      <w:r w:rsidR="00803652" w:rsidRPr="00D723FF">
        <w:t xml:space="preserve"> important in the </w:t>
      </w:r>
      <w:proofErr w:type="spellStart"/>
      <w:r w:rsidR="00803652" w:rsidRPr="00D723FF">
        <w:t>context</w:t>
      </w:r>
      <w:proofErr w:type="spellEnd"/>
      <w:r w:rsidR="00803652" w:rsidRPr="00D723FF">
        <w:t xml:space="preserve"> of </w:t>
      </w:r>
      <w:proofErr w:type="spellStart"/>
      <w:r w:rsidR="00803652" w:rsidRPr="00D723FF">
        <w:t>environmental</w:t>
      </w:r>
      <w:proofErr w:type="spellEnd"/>
      <w:r w:rsidR="00803652" w:rsidRPr="00D723FF">
        <w:t xml:space="preserve"> destruction, </w:t>
      </w:r>
      <w:proofErr w:type="spellStart"/>
      <w:r w:rsidR="00803652" w:rsidRPr="00D723FF">
        <w:t>where</w:t>
      </w:r>
      <w:proofErr w:type="spellEnd"/>
      <w:r w:rsidR="00803652" w:rsidRPr="00D723FF">
        <w:t xml:space="preserve"> the qualification of </w:t>
      </w:r>
      <w:proofErr w:type="spellStart"/>
      <w:r w:rsidR="00803652" w:rsidRPr="00D723FF">
        <w:t>conduct</w:t>
      </w:r>
      <w:proofErr w:type="spellEnd"/>
      <w:r w:rsidR="00803652" w:rsidRPr="00D723FF">
        <w:t xml:space="preserve"> as </w:t>
      </w:r>
      <w:proofErr w:type="spellStart"/>
      <w:r w:rsidR="00803652" w:rsidRPr="00D723FF">
        <w:t>genocide</w:t>
      </w:r>
      <w:proofErr w:type="spellEnd"/>
      <w:r w:rsidR="00803652" w:rsidRPr="00D723FF">
        <w:t xml:space="preserve"> </w:t>
      </w:r>
      <w:proofErr w:type="spellStart"/>
      <w:r w:rsidR="00803652" w:rsidRPr="00D723FF">
        <w:t>would</w:t>
      </w:r>
      <w:proofErr w:type="spellEnd"/>
      <w:r w:rsidR="00803652" w:rsidRPr="00D723FF">
        <w:t xml:space="preserve"> place </w:t>
      </w:r>
      <w:proofErr w:type="spellStart"/>
      <w:r w:rsidR="00803652" w:rsidRPr="00D723FF">
        <w:t>it</w:t>
      </w:r>
      <w:proofErr w:type="spellEnd"/>
      <w:r w:rsidR="00803652" w:rsidRPr="00D723FF">
        <w:t xml:space="preserve"> </w:t>
      </w:r>
      <w:proofErr w:type="spellStart"/>
      <w:r w:rsidR="00803652" w:rsidRPr="00D723FF">
        <w:t>within</w:t>
      </w:r>
      <w:proofErr w:type="spellEnd"/>
      <w:r w:rsidR="00803652" w:rsidRPr="00D723FF">
        <w:t xml:space="preserve"> one of the </w:t>
      </w:r>
      <w:proofErr w:type="spellStart"/>
      <w:r w:rsidR="00803652" w:rsidRPr="00D723FF">
        <w:t>strongest</w:t>
      </w:r>
      <w:proofErr w:type="spellEnd"/>
      <w:r w:rsidR="00803652" w:rsidRPr="00D723FF">
        <w:t xml:space="preserve"> protection </w:t>
      </w:r>
      <w:proofErr w:type="spellStart"/>
      <w:r w:rsidR="00803652" w:rsidRPr="00D723FF">
        <w:t>regimes</w:t>
      </w:r>
      <w:proofErr w:type="spellEnd"/>
      <w:r w:rsidR="00803652" w:rsidRPr="00D723FF">
        <w:t xml:space="preserve"> </w:t>
      </w:r>
      <w:proofErr w:type="spellStart"/>
      <w:r w:rsidR="00803652" w:rsidRPr="00D723FF">
        <w:t>recognised</w:t>
      </w:r>
      <w:proofErr w:type="spellEnd"/>
      <w:r w:rsidR="00803652" w:rsidRPr="00D723FF">
        <w:t xml:space="preserve"> </w:t>
      </w:r>
      <w:proofErr w:type="spellStart"/>
      <w:r w:rsidR="00803652" w:rsidRPr="00D723FF">
        <w:t>under</w:t>
      </w:r>
      <w:proofErr w:type="spellEnd"/>
      <w:r w:rsidR="00803652" w:rsidRPr="00D723FF">
        <w:t xml:space="preserve"> international </w:t>
      </w:r>
      <w:proofErr w:type="spellStart"/>
      <w:r w:rsidR="00803652" w:rsidRPr="00D723FF">
        <w:t>law</w:t>
      </w:r>
      <w:proofErr w:type="spellEnd"/>
      <w:r w:rsidR="00803652" w:rsidRPr="00D723FF">
        <w:t>.</w:t>
      </w:r>
      <w:r w:rsidR="00803652" w:rsidRPr="00D723FF">
        <w:rPr>
          <w:lang w:val="en-US" w:eastAsia="en-US"/>
        </w:rPr>
        <w:t xml:space="preserve"> </w:t>
      </w:r>
      <w:r w:rsidR="00663EC5" w:rsidRPr="00D723FF">
        <w:rPr>
          <w:lang w:val="en-US" w:eastAsia="en-US"/>
        </w:rPr>
        <w:t>Precisely because genocide constitutes one of the gravest international crimes, determining whether</w:t>
      </w:r>
      <w:r w:rsidR="00803652" w:rsidRPr="00D723FF">
        <w:rPr>
          <w:lang w:val="en-US" w:eastAsia="en-US"/>
        </w:rPr>
        <w:t xml:space="preserve"> it </w:t>
      </w:r>
      <w:r w:rsidR="00663EC5" w:rsidRPr="00D723FF">
        <w:rPr>
          <w:lang w:val="en-US" w:eastAsia="en-US"/>
        </w:rPr>
        <w:t xml:space="preserve">may fall within the scope of Article II(c) requires a particularly careful interpretation (see </w:t>
      </w:r>
      <w:r w:rsidR="00663EC5" w:rsidRPr="00D723FF">
        <w:rPr>
          <w:i/>
          <w:iCs/>
          <w:lang w:val="en-US" w:eastAsia="en-US"/>
        </w:rPr>
        <w:t xml:space="preserve">infra </w:t>
      </w:r>
      <w:r w:rsidR="00663EC5" w:rsidRPr="00D723FF">
        <w:rPr>
          <w:lang w:val="en-US" w:eastAsia="en-US"/>
        </w:rPr>
        <w:t xml:space="preserve">chapter </w:t>
      </w:r>
      <w:r w:rsidR="006F7177" w:rsidRPr="00D723FF">
        <w:rPr>
          <w:lang w:val="en-US" w:eastAsia="en-US"/>
        </w:rPr>
        <w:t>3</w:t>
      </w:r>
      <w:r w:rsidR="00663EC5" w:rsidRPr="00D723FF">
        <w:rPr>
          <w:lang w:val="en-US" w:eastAsia="en-US"/>
        </w:rPr>
        <w:t xml:space="preserve">). </w:t>
      </w:r>
      <w:r w:rsidR="00E759A2" w:rsidRPr="00D723FF">
        <w:rPr>
          <w:lang w:val="en-US" w:eastAsia="en-US"/>
        </w:rPr>
        <w:tab/>
      </w:r>
      <w:r w:rsidR="00E759A2" w:rsidRPr="00D723FF">
        <w:rPr>
          <w:lang w:val="en-US" w:eastAsia="en-US"/>
        </w:rPr>
        <w:br/>
      </w:r>
    </w:p>
    <w:p w14:paraId="6B045952" w14:textId="49802340" w:rsidR="002D4970" w:rsidRPr="00D723FF" w:rsidRDefault="002D4970" w:rsidP="00D723FF">
      <w:pPr>
        <w:pStyle w:val="Kop2"/>
        <w:tabs>
          <w:tab w:val="left" w:pos="4114"/>
        </w:tabs>
        <w:spacing w:line="360" w:lineRule="auto"/>
        <w:rPr>
          <w:rFonts w:ascii="Times New Roman" w:hAnsi="Times New Roman" w:cs="Times New Roman"/>
          <w:lang w:val="en-US" w:eastAsia="en-US"/>
        </w:rPr>
      </w:pPr>
      <w:bookmarkStart w:id="14" w:name="_Toc230376189"/>
      <w:r w:rsidRPr="00D723FF">
        <w:rPr>
          <w:rFonts w:ascii="Times New Roman" w:hAnsi="Times New Roman" w:cs="Times New Roman"/>
          <w:lang w:val="en-US" w:eastAsia="en-US"/>
        </w:rPr>
        <w:t>1.4 Interim Conclusion</w:t>
      </w:r>
      <w:bookmarkEnd w:id="14"/>
      <w:r w:rsidR="009A3989" w:rsidRPr="00D723FF">
        <w:rPr>
          <w:rFonts w:ascii="Times New Roman" w:hAnsi="Times New Roman" w:cs="Times New Roman"/>
          <w:lang w:val="en-US" w:eastAsia="en-US"/>
        </w:rPr>
        <w:tab/>
      </w:r>
    </w:p>
    <w:p w14:paraId="167D121D" w14:textId="1A0B7545" w:rsidR="006F7177" w:rsidRPr="00D723FF" w:rsidRDefault="006F7177" w:rsidP="00D723FF">
      <w:pPr>
        <w:spacing w:line="360" w:lineRule="auto"/>
        <w:jc w:val="both"/>
        <w:rPr>
          <w:lang w:val="en-US" w:eastAsia="en-US"/>
        </w:rPr>
      </w:pPr>
      <w:r w:rsidRPr="00D723FF">
        <w:rPr>
          <w:lang w:val="en-US" w:eastAsia="en-US"/>
        </w:rPr>
        <w:t>The crime of genocide is defined by a strict combination of elements. While Article II of the Genocide Convention includes both direct and indirect forms of destruction,</w:t>
      </w:r>
      <w:r w:rsidR="00727DE4">
        <w:rPr>
          <w:lang w:val="en-US" w:eastAsia="en-US"/>
        </w:rPr>
        <w:br/>
      </w:r>
      <w:r w:rsidR="00A124CA" w:rsidRPr="00D723FF">
        <w:rPr>
          <w:lang w:val="en-US" w:eastAsia="en-US"/>
        </w:rPr>
        <w:lastRenderedPageBreak/>
        <w:t>for example</w:t>
      </w:r>
      <w:r w:rsidRPr="00D723FF">
        <w:rPr>
          <w:lang w:val="en-US" w:eastAsia="en-US"/>
        </w:rPr>
        <w:t xml:space="preserve"> the infliction of conditions of life, it does not clearly define the threshold at which such conduct amounts to physical destruction. </w:t>
      </w:r>
      <w:r w:rsidR="00A124CA" w:rsidRPr="00D723FF">
        <w:rPr>
          <w:lang w:val="en-US" w:eastAsia="en-US"/>
        </w:rPr>
        <w:t>Simultaneously</w:t>
      </w:r>
      <w:r w:rsidRPr="00D723FF">
        <w:rPr>
          <w:lang w:val="en-US" w:eastAsia="en-US"/>
        </w:rPr>
        <w:t>, genocide is limited to acts directed against protected groups and requires the specific intent to destroy the group, in whole or in part, as such.</w:t>
      </w:r>
      <w:r w:rsidRPr="00D723FF">
        <w:rPr>
          <w:lang w:val="en-US" w:eastAsia="en-US"/>
        </w:rPr>
        <w:tab/>
      </w:r>
      <w:r w:rsidRPr="00D723FF">
        <w:rPr>
          <w:lang w:val="en-US" w:eastAsia="en-US"/>
        </w:rPr>
        <w:br/>
      </w:r>
      <w:r w:rsidRPr="00D723FF">
        <w:rPr>
          <w:lang w:val="en-US" w:eastAsia="en-US"/>
        </w:rPr>
        <w:br/>
      </w:r>
      <w:r w:rsidR="002D4970" w:rsidRPr="00D723FF">
        <w:rPr>
          <w:lang w:val="en-US" w:eastAsia="en-US"/>
        </w:rPr>
        <w:t>In this context, environmental destruction in armed conflict does not automatically fall within the scope of genocide. Its qualification is possible, but it depends on whether it is directed against a protected group and whether it is used as a method of destruction. The</w:t>
      </w:r>
      <w:r w:rsidR="009A3989" w:rsidRPr="00D723FF">
        <w:rPr>
          <w:lang w:val="en-US" w:eastAsia="en-US"/>
        </w:rPr>
        <w:t>refore, the</w:t>
      </w:r>
      <w:r w:rsidR="002D4970" w:rsidRPr="00D723FF">
        <w:rPr>
          <w:lang w:val="en-US" w:eastAsia="en-US"/>
        </w:rPr>
        <w:t xml:space="preserve"> decisive question remains whether such acts can meet the threshold of </w:t>
      </w:r>
      <w:r w:rsidR="001B1900" w:rsidRPr="00D723FF">
        <w:rPr>
          <w:lang w:val="en-US" w:eastAsia="en-US"/>
        </w:rPr>
        <w:t>‘</w:t>
      </w:r>
      <w:r w:rsidR="002D4970" w:rsidRPr="00D723FF">
        <w:rPr>
          <w:lang w:val="en-US" w:eastAsia="en-US"/>
        </w:rPr>
        <w:t>physical destruction</w:t>
      </w:r>
      <w:r w:rsidR="001B1900" w:rsidRPr="00D723FF">
        <w:rPr>
          <w:lang w:val="en-US" w:eastAsia="en-US"/>
        </w:rPr>
        <w:t>’</w:t>
      </w:r>
      <w:r w:rsidR="002D4970" w:rsidRPr="00D723FF">
        <w:rPr>
          <w:lang w:val="en-US" w:eastAsia="en-US"/>
        </w:rPr>
        <w:t xml:space="preserve"> within the meaning of Article II(c).</w:t>
      </w:r>
      <w:r w:rsidR="00EF356D">
        <w:rPr>
          <w:lang w:val="en-US" w:eastAsia="en-US"/>
        </w:rPr>
        <w:tab/>
      </w:r>
    </w:p>
    <w:p w14:paraId="6EC479D6" w14:textId="486E5A0B" w:rsidR="00BA7F09" w:rsidRPr="00D723FF" w:rsidRDefault="00BA7F09" w:rsidP="00727DE4">
      <w:pPr>
        <w:pStyle w:val="Kop1"/>
        <w:spacing w:line="360" w:lineRule="auto"/>
        <w:jc w:val="both"/>
        <w:rPr>
          <w:rFonts w:ascii="Times New Roman" w:hAnsi="Times New Roman" w:cs="Times New Roman"/>
        </w:rPr>
      </w:pPr>
      <w:bookmarkStart w:id="15" w:name="_Toc230376190"/>
      <w:proofErr w:type="spellStart"/>
      <w:r w:rsidRPr="00D723FF">
        <w:rPr>
          <w:rFonts w:ascii="Times New Roman" w:hAnsi="Times New Roman" w:cs="Times New Roman"/>
        </w:rPr>
        <w:t>Chapter</w:t>
      </w:r>
      <w:proofErr w:type="spellEnd"/>
      <w:r w:rsidRPr="00D723FF">
        <w:rPr>
          <w:rFonts w:ascii="Times New Roman" w:hAnsi="Times New Roman" w:cs="Times New Roman"/>
        </w:rPr>
        <w:t xml:space="preserve"> </w:t>
      </w:r>
      <w:r w:rsidR="00FE36BD" w:rsidRPr="00D723FF">
        <w:rPr>
          <w:rFonts w:ascii="Times New Roman" w:hAnsi="Times New Roman" w:cs="Times New Roman"/>
        </w:rPr>
        <w:t xml:space="preserve">2. </w:t>
      </w:r>
      <w:proofErr w:type="spellStart"/>
      <w:r w:rsidR="00FE36BD" w:rsidRPr="00D723FF">
        <w:rPr>
          <w:rFonts w:ascii="Times New Roman" w:hAnsi="Times New Roman" w:cs="Times New Roman"/>
        </w:rPr>
        <w:t>Environmental</w:t>
      </w:r>
      <w:proofErr w:type="spellEnd"/>
      <w:r w:rsidR="00FE36BD" w:rsidRPr="00D723FF">
        <w:rPr>
          <w:rFonts w:ascii="Times New Roman" w:hAnsi="Times New Roman" w:cs="Times New Roman"/>
        </w:rPr>
        <w:t xml:space="preserve"> </w:t>
      </w:r>
      <w:r w:rsidR="002E4D8C">
        <w:rPr>
          <w:rFonts w:ascii="Times New Roman" w:hAnsi="Times New Roman" w:cs="Times New Roman"/>
        </w:rPr>
        <w:t>d</w:t>
      </w:r>
      <w:r w:rsidR="00FE36BD" w:rsidRPr="00D723FF">
        <w:rPr>
          <w:rFonts w:ascii="Times New Roman" w:hAnsi="Times New Roman" w:cs="Times New Roman"/>
        </w:rPr>
        <w:t xml:space="preserve">estruction </w:t>
      </w:r>
      <w:proofErr w:type="spellStart"/>
      <w:r w:rsidR="00FE36BD" w:rsidRPr="00D723FF">
        <w:rPr>
          <w:rFonts w:ascii="Times New Roman" w:hAnsi="Times New Roman" w:cs="Times New Roman"/>
        </w:rPr>
        <w:t>under</w:t>
      </w:r>
      <w:proofErr w:type="spellEnd"/>
      <w:r w:rsidR="00FE36BD" w:rsidRPr="00D723FF">
        <w:rPr>
          <w:rFonts w:ascii="Times New Roman" w:hAnsi="Times New Roman" w:cs="Times New Roman"/>
        </w:rPr>
        <w:t xml:space="preserve"> </w:t>
      </w:r>
      <w:r w:rsidR="00145221" w:rsidRPr="00D723FF">
        <w:rPr>
          <w:rFonts w:ascii="Times New Roman" w:hAnsi="Times New Roman" w:cs="Times New Roman"/>
        </w:rPr>
        <w:t>i</w:t>
      </w:r>
      <w:r w:rsidR="00FE36BD" w:rsidRPr="00D723FF">
        <w:rPr>
          <w:rFonts w:ascii="Times New Roman" w:hAnsi="Times New Roman" w:cs="Times New Roman"/>
        </w:rPr>
        <w:t xml:space="preserve">nternational </w:t>
      </w:r>
      <w:proofErr w:type="spellStart"/>
      <w:r w:rsidR="00145221" w:rsidRPr="00D723FF">
        <w:rPr>
          <w:rFonts w:ascii="Times New Roman" w:hAnsi="Times New Roman" w:cs="Times New Roman"/>
        </w:rPr>
        <w:t>l</w:t>
      </w:r>
      <w:r w:rsidR="00FE36BD" w:rsidRPr="00D723FF">
        <w:rPr>
          <w:rFonts w:ascii="Times New Roman" w:hAnsi="Times New Roman" w:cs="Times New Roman"/>
        </w:rPr>
        <w:t>aw</w:t>
      </w:r>
      <w:bookmarkEnd w:id="15"/>
      <w:proofErr w:type="spellEnd"/>
      <w:r w:rsidR="00FE36BD" w:rsidRPr="00D723FF">
        <w:rPr>
          <w:rFonts w:ascii="Times New Roman" w:hAnsi="Times New Roman" w:cs="Times New Roman"/>
        </w:rPr>
        <w:tab/>
      </w:r>
      <w:r w:rsidR="002E4D8C">
        <w:rPr>
          <w:rFonts w:ascii="Times New Roman" w:hAnsi="Times New Roman" w:cs="Times New Roman"/>
        </w:rPr>
        <w:tab/>
      </w:r>
    </w:p>
    <w:p w14:paraId="292F19CE" w14:textId="30E74C7D" w:rsidR="00BA7F09" w:rsidRPr="00D723FF" w:rsidRDefault="00BA7F09" w:rsidP="00D723FF">
      <w:pPr>
        <w:pStyle w:val="Kop2"/>
        <w:spacing w:line="360" w:lineRule="auto"/>
        <w:rPr>
          <w:rFonts w:ascii="Times New Roman" w:eastAsiaTheme="minorHAnsi" w:hAnsi="Times New Roman" w:cs="Times New Roman"/>
        </w:rPr>
      </w:pPr>
      <w:bookmarkStart w:id="16" w:name="_Toc230376191"/>
      <w:r w:rsidRPr="00D723FF">
        <w:rPr>
          <w:rFonts w:ascii="Times New Roman" w:eastAsiaTheme="minorHAnsi" w:hAnsi="Times New Roman" w:cs="Times New Roman"/>
        </w:rPr>
        <w:t>2.1. Introduction</w:t>
      </w:r>
      <w:bookmarkEnd w:id="16"/>
    </w:p>
    <w:p w14:paraId="6C529C46" w14:textId="4C8139DA" w:rsidR="00013D57" w:rsidRPr="00013D57" w:rsidRDefault="009A3989" w:rsidP="00013D57">
      <w:pPr>
        <w:pStyle w:val="Normaalweb"/>
        <w:spacing w:line="360" w:lineRule="auto"/>
        <w:jc w:val="both"/>
      </w:pPr>
      <w:r w:rsidRPr="00D723FF">
        <w:rPr>
          <w:rFonts w:cs="Times New Roman"/>
        </w:rPr>
        <w:t>An assessment of whether environmental destruction may fall within the scope of Article II(c) of the Genocide Convention first requires clarification of the concept of ‘environmental destruction’.</w:t>
      </w:r>
      <w:r w:rsidRPr="00D723FF">
        <w:rPr>
          <w:rFonts w:cs="Times New Roman"/>
        </w:rPr>
        <w:t xml:space="preserve"> I</w:t>
      </w:r>
      <w:r w:rsidR="00FE36BD" w:rsidRPr="00D723FF">
        <w:rPr>
          <w:rFonts w:cs="Times New Roman"/>
        </w:rPr>
        <w:t>nternational law does not provide one universally accepted definition of the concept, although several international instruments and reports recognise the protection of the natural environment, particularly in situations of armed conflict.</w:t>
      </w:r>
      <w:r w:rsidR="00775D2A" w:rsidRPr="00D723FF">
        <w:rPr>
          <w:rStyle w:val="Voetnootmarkering"/>
          <w:rFonts w:cs="Times New Roman"/>
        </w:rPr>
        <w:footnoteReference w:id="62"/>
      </w:r>
      <w:r w:rsidR="006F2C64" w:rsidRPr="00D723FF">
        <w:rPr>
          <w:rFonts w:cs="Times New Roman"/>
        </w:rPr>
        <w:br/>
      </w:r>
      <w:r w:rsidR="006F2C64" w:rsidRPr="00D723FF">
        <w:rPr>
          <w:rFonts w:cs="Times New Roman"/>
        </w:rPr>
        <w:br/>
      </w:r>
      <w:r w:rsidR="00FE36BD" w:rsidRPr="00D723FF">
        <w:rPr>
          <w:rFonts w:cs="Times New Roman"/>
        </w:rPr>
        <w:t>Environmental destruction presents a particularly complex legal issue because its effects are often indirect, cumulative and long-term rather than immediately lethal.</w:t>
      </w:r>
      <w:r w:rsidR="00991634" w:rsidRPr="00D723FF">
        <w:rPr>
          <w:rStyle w:val="Voetnootmarkering"/>
          <w:rFonts w:cs="Times New Roman"/>
        </w:rPr>
        <w:footnoteReference w:id="63"/>
      </w:r>
      <w:r w:rsidR="00FE36BD" w:rsidRPr="00D723FF">
        <w:rPr>
          <w:rFonts w:cs="Times New Roman"/>
        </w:rPr>
        <w:t xml:space="preserve"> Unlike direct forms of violence, environmental harm frequently operates through the gradual destruction of ecosystems and resources indispensable for civilian survival, such as water sources, agricultural land, food systems and habitable territory.</w:t>
      </w:r>
      <w:r w:rsidR="00C92EC6" w:rsidRPr="00D723FF">
        <w:rPr>
          <w:rStyle w:val="Voetnootmarkering"/>
          <w:rFonts w:cs="Times New Roman"/>
        </w:rPr>
        <w:footnoteReference w:id="64"/>
      </w:r>
      <w:r w:rsidR="00FE36BD" w:rsidRPr="00D723FF">
        <w:rPr>
          <w:rFonts w:cs="Times New Roman"/>
        </w:rPr>
        <w:t xml:space="preserve"> </w:t>
      </w:r>
      <w:r w:rsidR="006F2C64" w:rsidRPr="00D723FF">
        <w:rPr>
          <w:rFonts w:cs="Times New Roman"/>
        </w:rPr>
        <w:tab/>
      </w:r>
      <w:r w:rsidR="006F2C64" w:rsidRPr="00D723FF">
        <w:rPr>
          <w:rFonts w:cs="Times New Roman"/>
        </w:rPr>
        <w:br/>
      </w:r>
      <w:r w:rsidR="00FE36BD" w:rsidRPr="00D723FF">
        <w:rPr>
          <w:rFonts w:cs="Times New Roman"/>
        </w:rPr>
        <w:lastRenderedPageBreak/>
        <w:t xml:space="preserve">This chapter therefore examines how international law regulates environmental destruction and how the protection of the environment has developed within international </w:t>
      </w:r>
      <w:r w:rsidR="001D61AA" w:rsidRPr="00D723FF">
        <w:rPr>
          <w:rFonts w:cs="Times New Roman"/>
        </w:rPr>
        <w:t>law</w:t>
      </w:r>
      <w:r w:rsidR="00FE36BD" w:rsidRPr="00D723FF">
        <w:rPr>
          <w:rFonts w:cs="Times New Roman"/>
        </w:rPr>
        <w:t xml:space="preserve">. </w:t>
      </w:r>
      <w:r w:rsidR="00013D57" w:rsidRPr="00013D57">
        <w:t xml:space="preserve">The purpose of this chapter is not to analyse environmental destruction as an autonomous international crime, such as ecocide (see </w:t>
      </w:r>
      <w:r w:rsidR="00013D57" w:rsidRPr="00013D57">
        <w:rPr>
          <w:i/>
          <w:iCs/>
        </w:rPr>
        <w:t xml:space="preserve">infra </w:t>
      </w:r>
      <w:r w:rsidR="00013D57" w:rsidRPr="00013D57">
        <w:t>Chapter 4.3.), but rather to identify the legal characteristics of environmental harm relevant to the interpretation of Article II(c) of the Genocide Convention.</w:t>
      </w:r>
    </w:p>
    <w:p w14:paraId="6BAC49E0" w14:textId="38E817A7" w:rsidR="00DB5A79" w:rsidRPr="00D723FF" w:rsidRDefault="00DB5A79" w:rsidP="00D723FF">
      <w:pPr>
        <w:pStyle w:val="Normaalweb"/>
        <w:spacing w:line="360" w:lineRule="auto"/>
        <w:jc w:val="both"/>
        <w:rPr>
          <w:rFonts w:cs="Times New Roman"/>
        </w:rPr>
      </w:pPr>
    </w:p>
    <w:p w14:paraId="38C1AFDD" w14:textId="58001A45" w:rsidR="00DB5A79" w:rsidRPr="00D723FF" w:rsidRDefault="00FE36BD" w:rsidP="00D723FF">
      <w:pPr>
        <w:pStyle w:val="Kop2"/>
        <w:spacing w:line="360" w:lineRule="auto"/>
        <w:jc w:val="both"/>
        <w:rPr>
          <w:rFonts w:ascii="Times New Roman" w:hAnsi="Times New Roman" w:cs="Times New Roman"/>
        </w:rPr>
      </w:pPr>
      <w:bookmarkStart w:id="17" w:name="_Toc230376192"/>
      <w:r w:rsidRPr="00D723FF">
        <w:rPr>
          <w:rFonts w:ascii="Times New Roman" w:hAnsi="Times New Roman" w:cs="Times New Roman"/>
        </w:rPr>
        <w:t xml:space="preserve">2.2. The </w:t>
      </w:r>
      <w:r w:rsidR="001D61AA" w:rsidRPr="00D723FF">
        <w:rPr>
          <w:rFonts w:ascii="Times New Roman" w:hAnsi="Times New Roman" w:cs="Times New Roman"/>
        </w:rPr>
        <w:t>c</w:t>
      </w:r>
      <w:r w:rsidRPr="00D723FF">
        <w:rPr>
          <w:rFonts w:ascii="Times New Roman" w:hAnsi="Times New Roman" w:cs="Times New Roman"/>
        </w:rPr>
        <w:t xml:space="preserve">oncept of </w:t>
      </w:r>
      <w:proofErr w:type="spellStart"/>
      <w:r w:rsidR="001D61AA" w:rsidRPr="00D723FF">
        <w:rPr>
          <w:rFonts w:ascii="Times New Roman" w:hAnsi="Times New Roman" w:cs="Times New Roman"/>
        </w:rPr>
        <w:t>e</w:t>
      </w:r>
      <w:r w:rsidRPr="00D723FF">
        <w:rPr>
          <w:rFonts w:ascii="Times New Roman" w:hAnsi="Times New Roman" w:cs="Times New Roman"/>
        </w:rPr>
        <w:t>nvironmental</w:t>
      </w:r>
      <w:proofErr w:type="spellEnd"/>
      <w:r w:rsidRPr="00D723FF">
        <w:rPr>
          <w:rFonts w:ascii="Times New Roman" w:hAnsi="Times New Roman" w:cs="Times New Roman"/>
        </w:rPr>
        <w:t xml:space="preserve"> </w:t>
      </w:r>
      <w:r w:rsidR="001D61AA" w:rsidRPr="00D723FF">
        <w:rPr>
          <w:rFonts w:ascii="Times New Roman" w:hAnsi="Times New Roman" w:cs="Times New Roman"/>
        </w:rPr>
        <w:t>d</w:t>
      </w:r>
      <w:r w:rsidRPr="00D723FF">
        <w:rPr>
          <w:rFonts w:ascii="Times New Roman" w:hAnsi="Times New Roman" w:cs="Times New Roman"/>
        </w:rPr>
        <w:t>estruction</w:t>
      </w:r>
      <w:bookmarkEnd w:id="17"/>
      <w:r w:rsidR="006F2C64" w:rsidRPr="00D723FF">
        <w:rPr>
          <w:rFonts w:ascii="Times New Roman" w:hAnsi="Times New Roman" w:cs="Times New Roman"/>
        </w:rPr>
        <w:tab/>
      </w:r>
    </w:p>
    <w:p w14:paraId="7384D493" w14:textId="3D27EE33" w:rsidR="00224F68" w:rsidRPr="00D723FF" w:rsidRDefault="001D61AA" w:rsidP="00D723FF">
      <w:pPr>
        <w:pStyle w:val="Normaalweb"/>
        <w:spacing w:line="360" w:lineRule="auto"/>
        <w:jc w:val="both"/>
        <w:rPr>
          <w:rFonts w:cs="Times New Roman"/>
          <w:lang w:val="en-US"/>
        </w:rPr>
      </w:pPr>
      <w:r w:rsidRPr="00D723FF">
        <w:rPr>
          <w:rFonts w:cs="Times New Roman"/>
        </w:rPr>
        <w:t>As stated in the introduction, i</w:t>
      </w:r>
      <w:r w:rsidR="00FE36BD" w:rsidRPr="00D723FF">
        <w:rPr>
          <w:rFonts w:cs="Times New Roman"/>
        </w:rPr>
        <w:t xml:space="preserve">nternational law does not contain a single comprehensive definition of </w:t>
      </w:r>
      <w:r w:rsidR="008943AC" w:rsidRPr="00D723FF">
        <w:rPr>
          <w:rFonts w:cs="Times New Roman"/>
        </w:rPr>
        <w:t>‘</w:t>
      </w:r>
      <w:r w:rsidR="00FE36BD" w:rsidRPr="00D723FF">
        <w:rPr>
          <w:rFonts w:cs="Times New Roman"/>
        </w:rPr>
        <w:t>environmental destruction</w:t>
      </w:r>
      <w:r w:rsidR="008943AC" w:rsidRPr="00D723FF">
        <w:rPr>
          <w:rFonts w:cs="Times New Roman"/>
        </w:rPr>
        <w:t>’</w:t>
      </w:r>
      <w:r w:rsidR="00FE36BD" w:rsidRPr="00D723FF">
        <w:rPr>
          <w:rFonts w:cs="Times New Roman"/>
        </w:rPr>
        <w:t>.</w:t>
      </w:r>
      <w:r w:rsidR="008943AC" w:rsidRPr="00D723FF">
        <w:rPr>
          <w:rStyle w:val="Voetnootmarkering"/>
          <w:rFonts w:cs="Times New Roman"/>
        </w:rPr>
        <w:footnoteReference w:id="65"/>
      </w:r>
      <w:r w:rsidR="00FE36BD" w:rsidRPr="00D723FF">
        <w:rPr>
          <w:rFonts w:cs="Times New Roman"/>
        </w:rPr>
        <w:t xml:space="preserve"> The concept generally refers to the deliberate, widespread or </w:t>
      </w:r>
      <w:r w:rsidR="00FE36BD" w:rsidRPr="00D723FF">
        <w:rPr>
          <w:rFonts w:cs="Times New Roman"/>
          <w:lang w:val="en-US"/>
        </w:rPr>
        <w:t>systematic destruction, contamination or degradation of natural resources and ecosystems.</w:t>
      </w:r>
      <w:r w:rsidR="00B145CA" w:rsidRPr="00D723FF">
        <w:rPr>
          <w:rStyle w:val="Voetnootmarkering"/>
          <w:rFonts w:cs="Times New Roman"/>
          <w:lang w:val="en-US"/>
        </w:rPr>
        <w:footnoteReference w:id="66"/>
      </w:r>
      <w:r w:rsidR="00FE36BD" w:rsidRPr="00D723FF">
        <w:rPr>
          <w:rFonts w:cs="Times New Roman"/>
          <w:lang w:val="en-US"/>
        </w:rPr>
        <w:t xml:space="preserve"> </w:t>
      </w:r>
      <w:r w:rsidRPr="00D723FF">
        <w:rPr>
          <w:rFonts w:cs="Times New Roman"/>
          <w:lang w:val="en-US"/>
        </w:rPr>
        <w:t xml:space="preserve">This </w:t>
      </w:r>
      <w:r w:rsidR="00FE36BD" w:rsidRPr="00D723FF">
        <w:rPr>
          <w:rFonts w:cs="Times New Roman"/>
          <w:lang w:val="en-US"/>
        </w:rPr>
        <w:t>may include the destruction of water infrastructure, agricultural systems, forests, livestock, food supplies or habitable land essential for civilian survival.</w:t>
      </w:r>
      <w:r w:rsidRPr="00D723FF">
        <w:rPr>
          <w:rStyle w:val="Voetnootmarkering"/>
          <w:rFonts w:cs="Times New Roman"/>
          <w:lang w:val="en-US"/>
        </w:rPr>
        <w:footnoteReference w:id="67"/>
      </w:r>
      <w:r w:rsidR="006F2C64" w:rsidRPr="00D723FF">
        <w:rPr>
          <w:rFonts w:cs="Times New Roman"/>
          <w:lang w:val="en-US"/>
        </w:rPr>
        <w:br/>
      </w:r>
      <w:r w:rsidR="006F2C64" w:rsidRPr="00D723FF">
        <w:rPr>
          <w:rFonts w:cs="Times New Roman"/>
          <w:lang w:val="en-US"/>
        </w:rPr>
        <w:br/>
      </w:r>
      <w:r w:rsidR="00013D57">
        <w:rPr>
          <w:rFonts w:cs="Times New Roman"/>
          <w:lang w:val="en-US"/>
        </w:rPr>
        <w:t xml:space="preserve">Nevertheless, this has </w:t>
      </w:r>
      <w:r w:rsidR="00FE36BD" w:rsidRPr="00D723FF">
        <w:rPr>
          <w:rFonts w:cs="Times New Roman"/>
          <w:lang w:val="en-US"/>
        </w:rPr>
        <w:t>gained importance in international law</w:t>
      </w:r>
      <w:r w:rsidR="00845722" w:rsidRPr="00D723FF">
        <w:rPr>
          <w:rFonts w:cs="Times New Roman"/>
          <w:lang w:val="en-US"/>
        </w:rPr>
        <w:t xml:space="preserve"> </w:t>
      </w:r>
      <w:r w:rsidR="00FE36BD" w:rsidRPr="00D723FF">
        <w:rPr>
          <w:rFonts w:cs="Times New Roman"/>
          <w:lang w:val="en-US"/>
        </w:rPr>
        <w:t>due</w:t>
      </w:r>
      <w:r w:rsidR="00845722" w:rsidRPr="00D723FF">
        <w:rPr>
          <w:rFonts w:cs="Times New Roman"/>
          <w:lang w:val="en-US"/>
        </w:rPr>
        <w:t xml:space="preserve"> to</w:t>
      </w:r>
      <w:r w:rsidR="00FE36BD" w:rsidRPr="00D723FF">
        <w:rPr>
          <w:rFonts w:cs="Times New Roman"/>
          <w:lang w:val="en-US"/>
        </w:rPr>
        <w:t xml:space="preserve"> the increasing recognition that armed conflicts often produce severe and long-term environmental consequences.</w:t>
      </w:r>
      <w:r w:rsidR="009D1A14" w:rsidRPr="00D723FF">
        <w:rPr>
          <w:rStyle w:val="Voetnootmarkering"/>
          <w:rFonts w:cs="Times New Roman"/>
          <w:lang w:val="en-US"/>
        </w:rPr>
        <w:footnoteReference w:id="68"/>
      </w:r>
      <w:r w:rsidR="00FE36BD" w:rsidRPr="00D723FF">
        <w:rPr>
          <w:rFonts w:cs="Times New Roman"/>
          <w:lang w:val="en-US"/>
        </w:rPr>
        <w:t xml:space="preserve"> </w:t>
      </w:r>
      <w:r w:rsidR="00845722" w:rsidRPr="00D723FF">
        <w:rPr>
          <w:rFonts w:cs="Times New Roman"/>
          <w:lang w:val="en-US"/>
        </w:rPr>
        <w:t xml:space="preserve">In its </w:t>
      </w:r>
      <w:r w:rsidR="00845722" w:rsidRPr="00D723FF">
        <w:rPr>
          <w:rFonts w:cs="Times New Roman"/>
          <w:i/>
          <w:iCs/>
          <w:lang w:val="en-US"/>
        </w:rPr>
        <w:t>Nuclear Weapons Advisory Opinion</w:t>
      </w:r>
      <w:r w:rsidR="006F7177" w:rsidRPr="00D723FF">
        <w:rPr>
          <w:rFonts w:cs="Times New Roman"/>
          <w:lang w:val="en-US"/>
        </w:rPr>
        <w:t>, the</w:t>
      </w:r>
      <w:r w:rsidR="00845722" w:rsidRPr="00D723FF">
        <w:rPr>
          <w:rFonts w:cs="Times New Roman"/>
          <w:lang w:val="en-US"/>
        </w:rPr>
        <w:t xml:space="preserve"> ICJ </w:t>
      </w:r>
      <w:proofErr w:type="spellStart"/>
      <w:r w:rsidR="00845722" w:rsidRPr="00D723FF">
        <w:rPr>
          <w:rFonts w:cs="Times New Roman"/>
          <w:lang w:val="en-US"/>
        </w:rPr>
        <w:t>emphasised</w:t>
      </w:r>
      <w:proofErr w:type="spellEnd"/>
      <w:r w:rsidR="00845722" w:rsidRPr="00D723FF">
        <w:rPr>
          <w:rFonts w:cs="Times New Roman"/>
          <w:lang w:val="en-US"/>
        </w:rPr>
        <w:t xml:space="preserve"> that the environment is not </w:t>
      </w:r>
      <w:r w:rsidR="00067347" w:rsidRPr="00D723FF">
        <w:rPr>
          <w:rFonts w:cs="Times New Roman"/>
          <w:lang w:val="en-US"/>
        </w:rPr>
        <w:t>‘</w:t>
      </w:r>
      <w:r w:rsidR="00845722" w:rsidRPr="00D723FF">
        <w:rPr>
          <w:rFonts w:cs="Times New Roman"/>
          <w:lang w:val="en-US"/>
        </w:rPr>
        <w:t>an abstraction</w:t>
      </w:r>
      <w:r w:rsidR="00067347" w:rsidRPr="00D723FF">
        <w:rPr>
          <w:rFonts w:cs="Times New Roman"/>
          <w:lang w:val="en-US"/>
        </w:rPr>
        <w:t>’</w:t>
      </w:r>
      <w:r w:rsidR="00845722" w:rsidRPr="00D723FF">
        <w:rPr>
          <w:rFonts w:cs="Times New Roman"/>
          <w:lang w:val="en-US"/>
        </w:rPr>
        <w:t xml:space="preserve"> but represents </w:t>
      </w:r>
      <w:r w:rsidR="004C40CE" w:rsidRPr="00D723FF">
        <w:rPr>
          <w:rFonts w:cs="Times New Roman"/>
          <w:lang w:val="en-US"/>
        </w:rPr>
        <w:t>“</w:t>
      </w:r>
      <w:r w:rsidR="00845722" w:rsidRPr="00D723FF">
        <w:rPr>
          <w:rFonts w:cs="Times New Roman"/>
          <w:lang w:val="en-US"/>
        </w:rPr>
        <w:t>the living space, the quality of life and the very health of human beings, including generations unborn</w:t>
      </w:r>
      <w:r w:rsidR="004C40CE" w:rsidRPr="00D723FF">
        <w:rPr>
          <w:rFonts w:cs="Times New Roman"/>
          <w:lang w:val="en-US"/>
        </w:rPr>
        <w:t>”</w:t>
      </w:r>
      <w:r w:rsidR="00845722" w:rsidRPr="00D723FF">
        <w:rPr>
          <w:rFonts w:cs="Times New Roman"/>
          <w:lang w:val="en-US"/>
        </w:rPr>
        <w:t>.</w:t>
      </w:r>
      <w:r w:rsidR="00067347" w:rsidRPr="00D723FF">
        <w:rPr>
          <w:rStyle w:val="Voetnootmarkering"/>
          <w:rFonts w:cs="Times New Roman"/>
          <w:lang w:val="en-US"/>
        </w:rPr>
        <w:footnoteReference w:id="69"/>
      </w:r>
      <w:r w:rsidR="008D7854" w:rsidRPr="00D723FF">
        <w:rPr>
          <w:rFonts w:cs="Times New Roman"/>
          <w:lang w:val="en-US"/>
        </w:rPr>
        <w:t xml:space="preserve"> </w:t>
      </w:r>
      <w:r w:rsidR="002F6E3E" w:rsidRPr="00D723FF">
        <w:rPr>
          <w:rFonts w:cs="Times New Roman"/>
          <w:lang w:val="en-US"/>
        </w:rPr>
        <w:t xml:space="preserve">The growing legal relevance of </w:t>
      </w:r>
      <w:r w:rsidR="00013D57">
        <w:rPr>
          <w:rFonts w:cs="Times New Roman"/>
          <w:lang w:val="en-US"/>
        </w:rPr>
        <w:t xml:space="preserve">its </w:t>
      </w:r>
      <w:r w:rsidR="002F6E3E" w:rsidRPr="00D723FF">
        <w:rPr>
          <w:rFonts w:cs="Times New Roman"/>
          <w:lang w:val="en-US"/>
        </w:rPr>
        <w:t xml:space="preserve">protection is closely linked to the specific nature of environmental harm. </w:t>
      </w:r>
      <w:r w:rsidR="00224F68" w:rsidRPr="00D723FF">
        <w:rPr>
          <w:rFonts w:cs="Times New Roman"/>
          <w:lang w:val="en-US"/>
        </w:rPr>
        <w:t xml:space="preserve">Unlike direct forms of physical violence, environmental destruction frequently operates through indirect mechanisms, </w:t>
      </w:r>
      <w:r w:rsidR="002E4D8C">
        <w:rPr>
          <w:rFonts w:cs="Times New Roman"/>
          <w:lang w:val="en-US"/>
        </w:rPr>
        <w:tab/>
      </w:r>
      <w:r w:rsidR="002E4D8C">
        <w:rPr>
          <w:rFonts w:cs="Times New Roman"/>
          <w:lang w:val="en-US"/>
        </w:rPr>
        <w:br/>
      </w:r>
      <w:r w:rsidR="00224F68" w:rsidRPr="00D723FF">
        <w:rPr>
          <w:rFonts w:cs="Times New Roman"/>
          <w:lang w:val="en-US"/>
        </w:rPr>
        <w:lastRenderedPageBreak/>
        <w:t xml:space="preserve">affecting the environmental conditions necessary for civilian survival (see </w:t>
      </w:r>
      <w:proofErr w:type="gramStart"/>
      <w:r w:rsidR="00224F68" w:rsidRPr="00D723FF">
        <w:rPr>
          <w:rFonts w:cs="Times New Roman"/>
          <w:i/>
          <w:iCs/>
          <w:lang w:val="en-US"/>
        </w:rPr>
        <w:t xml:space="preserve">infra </w:t>
      </w:r>
      <w:r w:rsidR="00224F68" w:rsidRPr="00D723FF">
        <w:rPr>
          <w:rFonts w:cs="Times New Roman"/>
          <w:lang w:val="en-US"/>
        </w:rPr>
        <w:t>Chapter</w:t>
      </w:r>
      <w:proofErr w:type="gramEnd"/>
      <w:r w:rsidR="00224F68" w:rsidRPr="00D723FF">
        <w:rPr>
          <w:rFonts w:cs="Times New Roman"/>
          <w:lang w:val="en-US"/>
        </w:rPr>
        <w:t xml:space="preserve"> 3.2).</w:t>
      </w:r>
      <w:r w:rsidR="00B73351" w:rsidRPr="00D723FF">
        <w:rPr>
          <w:rStyle w:val="Voetnootmarkering"/>
          <w:rFonts w:cs="Times New Roman"/>
          <w:lang w:val="en-US"/>
        </w:rPr>
        <w:footnoteReference w:id="70"/>
      </w:r>
      <w:r w:rsidR="006F2C64" w:rsidRPr="00D723FF">
        <w:rPr>
          <w:rFonts w:cs="Times New Roman"/>
          <w:lang w:val="en-US"/>
        </w:rPr>
        <w:tab/>
      </w:r>
      <w:r w:rsidR="006F2C64" w:rsidRPr="00D723FF">
        <w:rPr>
          <w:rFonts w:cs="Times New Roman"/>
          <w:lang w:val="en-US"/>
        </w:rPr>
        <w:br/>
      </w:r>
    </w:p>
    <w:p w14:paraId="6974A1BE" w14:textId="69CFAA76" w:rsidR="00FE36BD" w:rsidRPr="00D723FF" w:rsidRDefault="00FE36BD" w:rsidP="00D723FF">
      <w:pPr>
        <w:pStyle w:val="Kop2"/>
        <w:spacing w:line="360" w:lineRule="auto"/>
        <w:jc w:val="both"/>
        <w:rPr>
          <w:rFonts w:ascii="Times New Roman" w:hAnsi="Times New Roman" w:cs="Times New Roman"/>
        </w:rPr>
      </w:pPr>
      <w:bookmarkStart w:id="18" w:name="_Toc230376193"/>
      <w:r w:rsidRPr="00D723FF">
        <w:rPr>
          <w:rFonts w:ascii="Times New Roman" w:hAnsi="Times New Roman" w:cs="Times New Roman"/>
        </w:rPr>
        <w:t xml:space="preserve">2.3. </w:t>
      </w:r>
      <w:proofErr w:type="spellStart"/>
      <w:r w:rsidRPr="00D723FF">
        <w:rPr>
          <w:rFonts w:ascii="Times New Roman" w:hAnsi="Times New Roman" w:cs="Times New Roman"/>
        </w:rPr>
        <w:t>Environmental</w:t>
      </w:r>
      <w:proofErr w:type="spellEnd"/>
      <w:r w:rsidRPr="00D723FF">
        <w:rPr>
          <w:rFonts w:ascii="Times New Roman" w:hAnsi="Times New Roman" w:cs="Times New Roman"/>
        </w:rPr>
        <w:t xml:space="preserve"> </w:t>
      </w:r>
      <w:r w:rsidR="002543D7" w:rsidRPr="00D723FF">
        <w:rPr>
          <w:rFonts w:ascii="Times New Roman" w:hAnsi="Times New Roman" w:cs="Times New Roman"/>
        </w:rPr>
        <w:t>p</w:t>
      </w:r>
      <w:r w:rsidRPr="00D723FF">
        <w:rPr>
          <w:rFonts w:ascii="Times New Roman" w:hAnsi="Times New Roman" w:cs="Times New Roman"/>
        </w:rPr>
        <w:t xml:space="preserve">rotection </w:t>
      </w:r>
      <w:proofErr w:type="spellStart"/>
      <w:r w:rsidRPr="00D723FF">
        <w:rPr>
          <w:rFonts w:ascii="Times New Roman" w:hAnsi="Times New Roman" w:cs="Times New Roman"/>
        </w:rPr>
        <w:t>under</w:t>
      </w:r>
      <w:proofErr w:type="spellEnd"/>
      <w:r w:rsidRPr="00D723FF">
        <w:rPr>
          <w:rFonts w:ascii="Times New Roman" w:hAnsi="Times New Roman" w:cs="Times New Roman"/>
        </w:rPr>
        <w:t xml:space="preserve"> </w:t>
      </w:r>
      <w:proofErr w:type="spellStart"/>
      <w:r w:rsidR="004E144F" w:rsidRPr="00D723FF">
        <w:rPr>
          <w:rFonts w:ascii="Times New Roman" w:hAnsi="Times New Roman" w:cs="Times New Roman"/>
        </w:rPr>
        <w:t>treaty</w:t>
      </w:r>
      <w:proofErr w:type="spellEnd"/>
      <w:r w:rsidR="004E144F" w:rsidRPr="00D723FF">
        <w:rPr>
          <w:rFonts w:ascii="Times New Roman" w:hAnsi="Times New Roman" w:cs="Times New Roman"/>
        </w:rPr>
        <w:t xml:space="preserve"> </w:t>
      </w:r>
      <w:proofErr w:type="spellStart"/>
      <w:r w:rsidR="004E144F" w:rsidRPr="00D723FF">
        <w:rPr>
          <w:rFonts w:ascii="Times New Roman" w:hAnsi="Times New Roman" w:cs="Times New Roman"/>
        </w:rPr>
        <w:t>law</w:t>
      </w:r>
      <w:bookmarkEnd w:id="18"/>
      <w:proofErr w:type="spellEnd"/>
      <w:r w:rsidR="00EF356D">
        <w:rPr>
          <w:rFonts w:ascii="Times New Roman" w:hAnsi="Times New Roman" w:cs="Times New Roman"/>
        </w:rPr>
        <w:tab/>
      </w:r>
    </w:p>
    <w:p w14:paraId="23E6B131" w14:textId="46170E2A" w:rsidR="00A4790D" w:rsidRPr="00EF356D" w:rsidRDefault="00FE36BD" w:rsidP="00C7415B">
      <w:pPr>
        <w:pStyle w:val="Kop3"/>
        <w:spacing w:before="0" w:after="0" w:line="360" w:lineRule="auto"/>
        <w:jc w:val="both"/>
        <w:rPr>
          <w:rFonts w:cs="Times New Roman"/>
        </w:rPr>
      </w:pPr>
      <w:bookmarkStart w:id="19" w:name="_Toc230376194"/>
      <w:r w:rsidRPr="00EF356D">
        <w:rPr>
          <w:rFonts w:cs="Times New Roman"/>
        </w:rPr>
        <w:t xml:space="preserve">2.3.1. </w:t>
      </w:r>
      <w:proofErr w:type="spellStart"/>
      <w:r w:rsidRPr="00EF356D">
        <w:rPr>
          <w:rFonts w:cs="Times New Roman"/>
        </w:rPr>
        <w:t>Additional</w:t>
      </w:r>
      <w:proofErr w:type="spellEnd"/>
      <w:r w:rsidRPr="00EF356D">
        <w:rPr>
          <w:rFonts w:cs="Times New Roman"/>
        </w:rPr>
        <w:t xml:space="preserve"> Protocol I</w:t>
      </w:r>
      <w:bookmarkEnd w:id="19"/>
      <w:r w:rsidR="009A3989" w:rsidRPr="00EF356D">
        <w:rPr>
          <w:rFonts w:cs="Times New Roman"/>
        </w:rPr>
        <w:tab/>
      </w:r>
    </w:p>
    <w:p w14:paraId="08632EA7" w14:textId="3FE9EA7A" w:rsidR="004B21F2" w:rsidRPr="00D723FF" w:rsidRDefault="00FE36BD" w:rsidP="00C7415B">
      <w:pPr>
        <w:pStyle w:val="Normaalweb"/>
        <w:spacing w:after="0" w:line="360" w:lineRule="auto"/>
        <w:jc w:val="both"/>
        <w:rPr>
          <w:rFonts w:cs="Times New Roman"/>
        </w:rPr>
      </w:pPr>
      <w:r w:rsidRPr="00D723FF">
        <w:rPr>
          <w:rFonts w:cs="Times New Roman"/>
        </w:rPr>
        <w:t xml:space="preserve">International humanitarian law recognises that the natural environment requires protection during armed conflict. </w:t>
      </w:r>
      <w:r w:rsidR="0075602C" w:rsidRPr="00D723FF">
        <w:rPr>
          <w:rFonts w:cs="Times New Roman"/>
        </w:rPr>
        <w:t>Among the most important provisions in this regard are those</w:t>
      </w:r>
      <w:r w:rsidR="0075602C" w:rsidRPr="00D723FF">
        <w:rPr>
          <w:rFonts w:cs="Times New Roman"/>
        </w:rPr>
        <w:t xml:space="preserve"> </w:t>
      </w:r>
      <w:r w:rsidRPr="00D723FF">
        <w:rPr>
          <w:rFonts w:cs="Times New Roman"/>
        </w:rPr>
        <w:t xml:space="preserve">contained in </w:t>
      </w:r>
      <w:r w:rsidRPr="00FF609C">
        <w:rPr>
          <w:rFonts w:cs="Times New Roman"/>
        </w:rPr>
        <w:t>Additional Protocol I to the Geneva Conventions</w:t>
      </w:r>
      <w:r w:rsidR="00D44BF0" w:rsidRPr="00D723FF">
        <w:rPr>
          <w:rFonts w:cs="Times New Roman"/>
          <w:i/>
          <w:iCs/>
        </w:rPr>
        <w:t xml:space="preserve"> </w:t>
      </w:r>
      <w:r w:rsidR="00D44BF0" w:rsidRPr="00D723FF">
        <w:rPr>
          <w:rFonts w:cs="Times New Roman"/>
        </w:rPr>
        <w:t>(</w:t>
      </w:r>
      <w:r w:rsidR="009A3989" w:rsidRPr="00D723FF">
        <w:rPr>
          <w:rFonts w:cs="Times New Roman"/>
        </w:rPr>
        <w:t xml:space="preserve">hereafter: </w:t>
      </w:r>
      <w:r w:rsidR="00D44BF0" w:rsidRPr="00D723FF">
        <w:rPr>
          <w:rFonts w:cs="Times New Roman"/>
        </w:rPr>
        <w:t>‘</w:t>
      </w:r>
      <w:r w:rsidR="00D44BF0" w:rsidRPr="00FF609C">
        <w:rPr>
          <w:rFonts w:cs="Times New Roman"/>
        </w:rPr>
        <w:t>Additional Protocol I</w:t>
      </w:r>
      <w:r w:rsidR="00D44BF0" w:rsidRPr="00D723FF">
        <w:rPr>
          <w:rFonts w:cs="Times New Roman"/>
        </w:rPr>
        <w:t>’)</w:t>
      </w:r>
      <w:r w:rsidRPr="00D723FF">
        <w:rPr>
          <w:rFonts w:cs="Times New Roman"/>
        </w:rPr>
        <w:t xml:space="preserve">. Article 35(3) prohibits methods or means of warfare intended or expected to cause </w:t>
      </w:r>
      <w:r w:rsidR="00A4790D" w:rsidRPr="00D723FF">
        <w:rPr>
          <w:rFonts w:cs="Times New Roman"/>
        </w:rPr>
        <w:t>‘</w:t>
      </w:r>
      <w:r w:rsidRPr="00D723FF">
        <w:rPr>
          <w:rFonts w:cs="Times New Roman"/>
        </w:rPr>
        <w:t>widespread, long-term and severe damage to the natural environment</w:t>
      </w:r>
      <w:r w:rsidR="00A4790D" w:rsidRPr="00D723FF">
        <w:rPr>
          <w:rFonts w:cs="Times New Roman"/>
        </w:rPr>
        <w:t>’</w:t>
      </w:r>
      <w:r w:rsidRPr="00D723FF">
        <w:rPr>
          <w:rFonts w:cs="Times New Roman"/>
        </w:rPr>
        <w:t>.</w:t>
      </w:r>
      <w:r w:rsidR="00A4790D" w:rsidRPr="00D723FF">
        <w:rPr>
          <w:rStyle w:val="Voetnootmarkering"/>
          <w:rFonts w:cs="Times New Roman"/>
        </w:rPr>
        <w:footnoteReference w:id="71"/>
      </w:r>
      <w:r w:rsidRPr="00D723FF">
        <w:rPr>
          <w:rFonts w:cs="Times New Roman"/>
        </w:rPr>
        <w:t xml:space="preserve"> Similarly, Article 55 of </w:t>
      </w:r>
      <w:r w:rsidRPr="00FF609C">
        <w:rPr>
          <w:rFonts w:cs="Times New Roman"/>
        </w:rPr>
        <w:t>Additional Protocol</w:t>
      </w:r>
      <w:r w:rsidRPr="00D723FF">
        <w:rPr>
          <w:rFonts w:cs="Times New Roman"/>
        </w:rPr>
        <w:t xml:space="preserve"> I provides that care shall be taken in warfare to protect the natural environment against such damage.</w:t>
      </w:r>
      <w:r w:rsidR="004B21F2" w:rsidRPr="00D723FF">
        <w:rPr>
          <w:rStyle w:val="Voetnootmarkering"/>
          <w:rFonts w:cs="Times New Roman"/>
        </w:rPr>
        <w:footnoteReference w:id="72"/>
      </w:r>
      <w:r w:rsidR="00AA4DCC" w:rsidRPr="00D723FF">
        <w:rPr>
          <w:rFonts w:cs="Times New Roman"/>
        </w:rPr>
        <w:t xml:space="preserve"> </w:t>
      </w:r>
      <w:r w:rsidR="009A3989" w:rsidRPr="00D723FF">
        <w:rPr>
          <w:rFonts w:cs="Times New Roman"/>
        </w:rPr>
        <w:tab/>
      </w:r>
      <w:r w:rsidR="006F2C64" w:rsidRPr="00D723FF">
        <w:rPr>
          <w:rFonts w:cs="Times New Roman"/>
        </w:rPr>
        <w:br/>
      </w:r>
      <w:r w:rsidR="006F2C64" w:rsidRPr="00D723FF">
        <w:rPr>
          <w:rFonts w:cs="Times New Roman"/>
        </w:rPr>
        <w:br/>
      </w:r>
      <w:r w:rsidR="00D44BF0" w:rsidRPr="00D723FF">
        <w:rPr>
          <w:rFonts w:cs="Times New Roman"/>
        </w:rPr>
        <w:t>These provisions reflect the growing recognition that environmental destruction may produce devastating humanitarian consequences for civilian populations and therefore require legal restraint during armed conflict</w:t>
      </w:r>
      <w:r w:rsidRPr="00D723FF">
        <w:rPr>
          <w:rFonts w:cs="Times New Roman"/>
        </w:rPr>
        <w:t>.</w:t>
      </w:r>
      <w:r w:rsidR="00145221" w:rsidRPr="00D723FF">
        <w:rPr>
          <w:rStyle w:val="Voetnootmarkering"/>
          <w:rFonts w:cs="Times New Roman"/>
        </w:rPr>
        <w:footnoteReference w:id="73"/>
      </w:r>
      <w:r w:rsidRPr="00D723FF">
        <w:rPr>
          <w:rFonts w:cs="Times New Roman"/>
        </w:rPr>
        <w:t xml:space="preserve"> </w:t>
      </w:r>
      <w:r w:rsidR="00013905" w:rsidRPr="00D723FF">
        <w:rPr>
          <w:rFonts w:cs="Times New Roman"/>
        </w:rPr>
        <w:t>Nevertheless, the customary status and precise scope of these obligations remain debated.</w:t>
      </w:r>
      <w:r w:rsidR="001E7EDF" w:rsidRPr="00D723FF">
        <w:rPr>
          <w:rStyle w:val="Voetnootmarkering"/>
          <w:rFonts w:cs="Times New Roman"/>
        </w:rPr>
        <w:footnoteReference w:id="74"/>
      </w:r>
      <w:r w:rsidR="00013905" w:rsidRPr="00D723FF">
        <w:rPr>
          <w:rFonts w:cs="Times New Roman"/>
        </w:rPr>
        <w:t xml:space="preserve"> </w:t>
      </w:r>
      <w:r w:rsidR="008B59B9" w:rsidRPr="00D723FF">
        <w:rPr>
          <w:rFonts w:cs="Times New Roman"/>
        </w:rPr>
        <w:t>Moreover, even if these provisions are regarded as reflecting customary international law, exceptions could still arise through the doctrine of persistent objector. As a persistent objector, a State consistently opposes the emergence of a customary rule during its formation and consequently claims not to be bound by that rule.</w:t>
      </w:r>
      <w:r w:rsidR="008B59B9" w:rsidRPr="00D723FF">
        <w:rPr>
          <w:rStyle w:val="Voetnootmarkering"/>
          <w:rFonts w:cs="Times New Roman"/>
        </w:rPr>
        <w:footnoteReference w:id="75"/>
      </w:r>
      <w:r w:rsidR="008B59B9" w:rsidRPr="00D723FF">
        <w:rPr>
          <w:rFonts w:cs="Times New Roman"/>
        </w:rPr>
        <w:t xml:space="preserve"> The United States, for example, has consistently objected to recognising these provisions as customary rules and has traditionally maintained the position of persistent objector.</w:t>
      </w:r>
      <w:r w:rsidR="001E7EDF" w:rsidRPr="00D723FF">
        <w:rPr>
          <w:rStyle w:val="Voetnootmarkering"/>
          <w:rFonts w:cs="Times New Roman"/>
        </w:rPr>
        <w:footnoteReference w:id="76"/>
      </w:r>
      <w:r w:rsidR="00013905" w:rsidRPr="00D723FF">
        <w:rPr>
          <w:rFonts w:cs="Times New Roman"/>
        </w:rPr>
        <w:t xml:space="preserve"> </w:t>
      </w:r>
      <w:r w:rsidR="008B59B9" w:rsidRPr="00D723FF">
        <w:rPr>
          <w:rFonts w:cs="Times New Roman"/>
        </w:rPr>
        <w:tab/>
      </w:r>
      <w:r w:rsidR="006F2C64" w:rsidRPr="00D723FF">
        <w:rPr>
          <w:rFonts w:cs="Times New Roman"/>
        </w:rPr>
        <w:br/>
      </w:r>
      <w:r w:rsidR="009A3989" w:rsidRPr="00D723FF">
        <w:rPr>
          <w:rFonts w:cs="Times New Roman"/>
        </w:rPr>
        <w:lastRenderedPageBreak/>
        <w:t>However</w:t>
      </w:r>
      <w:r w:rsidR="00D44BF0" w:rsidRPr="00D723FF">
        <w:rPr>
          <w:rFonts w:cs="Times New Roman"/>
        </w:rPr>
        <w:t xml:space="preserve">, the threshold established by </w:t>
      </w:r>
      <w:r w:rsidR="00D44BF0" w:rsidRPr="00013D57">
        <w:rPr>
          <w:rFonts w:cs="Times New Roman"/>
        </w:rPr>
        <w:t>Additional Protocol</w:t>
      </w:r>
      <w:r w:rsidR="00D44BF0" w:rsidRPr="00D723FF">
        <w:rPr>
          <w:rFonts w:cs="Times New Roman"/>
        </w:rPr>
        <w:t xml:space="preserve"> I remains very high, </w:t>
      </w:r>
      <w:r w:rsidR="008B59B9" w:rsidRPr="00D723FF">
        <w:rPr>
          <w:rFonts w:cs="Times New Roman"/>
        </w:rPr>
        <w:t>since the terms ‘widespread’, ‘long-term’, and ‘severe’ are connected by the word ‘and’, meaning that these conditions must be fulfilled cumulatively.</w:t>
      </w:r>
      <w:r w:rsidR="00D44BF0" w:rsidRPr="00D723FF">
        <w:rPr>
          <w:rFonts w:cs="Times New Roman"/>
        </w:rPr>
        <w:t>.</w:t>
      </w:r>
      <w:r w:rsidR="00D44BF0" w:rsidRPr="00D723FF">
        <w:rPr>
          <w:rStyle w:val="Voetnootmarkering"/>
          <w:rFonts w:cs="Times New Roman"/>
        </w:rPr>
        <w:footnoteReference w:id="77"/>
      </w:r>
      <w:r w:rsidR="00D44BF0" w:rsidRPr="00D723FF">
        <w:rPr>
          <w:rFonts w:cs="Times New Roman"/>
        </w:rPr>
        <w:t xml:space="preserve"> In addition, the precise meaning of these criteria remains uncertain</w:t>
      </w:r>
      <w:r w:rsidRPr="00D723FF">
        <w:rPr>
          <w:rFonts w:cs="Times New Roman"/>
        </w:rPr>
        <w:t xml:space="preserve">, the threshold established by </w:t>
      </w:r>
      <w:r w:rsidR="00F11B90" w:rsidRPr="00013D57">
        <w:rPr>
          <w:rFonts w:cs="Times New Roman"/>
          <w:lang w:val="en-GB"/>
        </w:rPr>
        <w:t>Additional Protocol</w:t>
      </w:r>
      <w:r w:rsidR="00F11B90" w:rsidRPr="00D723FF">
        <w:rPr>
          <w:rFonts w:cs="Times New Roman"/>
          <w:i/>
          <w:iCs/>
          <w:lang w:val="en-GB"/>
        </w:rPr>
        <w:t xml:space="preserve"> </w:t>
      </w:r>
      <w:r w:rsidR="00F11B90" w:rsidRPr="00D723FF">
        <w:rPr>
          <w:rFonts w:cs="Times New Roman"/>
          <w:lang w:val="en-GB"/>
        </w:rPr>
        <w:t>I</w:t>
      </w:r>
      <w:r w:rsidRPr="00D723FF">
        <w:rPr>
          <w:rFonts w:cs="Times New Roman"/>
        </w:rPr>
        <w:t xml:space="preserve"> remains particularly</w:t>
      </w:r>
      <w:r w:rsidR="0078788E" w:rsidRPr="00D723FF">
        <w:rPr>
          <w:rFonts w:cs="Times New Roman"/>
        </w:rPr>
        <w:t xml:space="preserve"> </w:t>
      </w:r>
      <w:r w:rsidR="0078788E" w:rsidRPr="00D723FF">
        <w:rPr>
          <w:rFonts w:cs="Times New Roman"/>
        </w:rPr>
        <w:t>difficult to meet</w:t>
      </w:r>
      <w:r w:rsidR="004B21F2" w:rsidRPr="00D723FF">
        <w:rPr>
          <w:rFonts w:cs="Times New Roman"/>
        </w:rPr>
        <w:t>.</w:t>
      </w:r>
      <w:r w:rsidR="003F5DFF" w:rsidRPr="00D723FF">
        <w:rPr>
          <w:rStyle w:val="Voetnootmarkering"/>
          <w:rFonts w:cs="Times New Roman"/>
        </w:rPr>
        <w:footnoteReference w:id="78"/>
      </w:r>
      <w:r w:rsidR="004B21F2" w:rsidRPr="00D723FF">
        <w:rPr>
          <w:rFonts w:cs="Times New Roman"/>
        </w:rPr>
        <w:t xml:space="preserve"> </w:t>
      </w:r>
      <w:r w:rsidR="009A3989" w:rsidRPr="00D723FF">
        <w:rPr>
          <w:rFonts w:cs="Times New Roman"/>
        </w:rPr>
        <w:t>Although</w:t>
      </w:r>
      <w:r w:rsidR="00D44BF0" w:rsidRPr="00D723FF">
        <w:rPr>
          <w:rFonts w:cs="Times New Roman"/>
        </w:rPr>
        <w:t xml:space="preserve"> the interpretation of ‘long-term’ damage remains debated, it is commonly understood as referring to environmental harm lasting for decades</w:t>
      </w:r>
      <w:r w:rsidR="00AA4DCC" w:rsidRPr="00D723FF">
        <w:rPr>
          <w:rFonts w:cs="Times New Roman"/>
        </w:rPr>
        <w:t>.</w:t>
      </w:r>
      <w:r w:rsidR="00D44BF0" w:rsidRPr="00D723FF">
        <w:rPr>
          <w:rStyle w:val="Voetnootmarkering"/>
          <w:rFonts w:cs="Times New Roman"/>
        </w:rPr>
        <w:footnoteReference w:id="79"/>
      </w:r>
      <w:r w:rsidR="00AA4DCC" w:rsidRPr="00D723FF">
        <w:rPr>
          <w:rFonts w:cs="Times New Roman"/>
        </w:rPr>
        <w:t xml:space="preserve"> </w:t>
      </w:r>
      <w:r w:rsidR="00D44BF0" w:rsidRPr="00D723FF">
        <w:rPr>
          <w:rFonts w:cs="Times New Roman"/>
        </w:rPr>
        <w:t>Consequently, the triple cumulative standard is considered extremely difficult to satisfy in practice</w:t>
      </w:r>
      <w:r w:rsidR="004B21F2" w:rsidRPr="00D723FF">
        <w:rPr>
          <w:rFonts w:cs="Times New Roman"/>
        </w:rPr>
        <w:t>.</w:t>
      </w:r>
      <w:r w:rsidR="004B21F2" w:rsidRPr="00D723FF">
        <w:rPr>
          <w:rStyle w:val="Voetnootmarkering"/>
          <w:rFonts w:cs="Times New Roman"/>
        </w:rPr>
        <w:footnoteReference w:id="80"/>
      </w:r>
    </w:p>
    <w:p w14:paraId="55F24442" w14:textId="4BA568BF" w:rsidR="003C37FB" w:rsidRPr="00D723FF" w:rsidRDefault="002543D7" w:rsidP="00D723FF">
      <w:pPr>
        <w:pStyle w:val="Normaalweb"/>
        <w:spacing w:line="360" w:lineRule="auto"/>
        <w:jc w:val="both"/>
        <w:rPr>
          <w:rFonts w:cs="Times New Roman"/>
        </w:rPr>
      </w:pPr>
      <w:r w:rsidRPr="00D723FF">
        <w:rPr>
          <w:rFonts w:cs="Times New Roman"/>
        </w:rPr>
        <w:br/>
      </w:r>
      <w:r w:rsidR="00FE36BD" w:rsidRPr="00D723FF">
        <w:rPr>
          <w:rFonts w:cs="Times New Roman"/>
        </w:rPr>
        <w:t>Although these rules primarily regulate conduct during armed conflict rather than genocide specifically, they remain relevant to the present research because they demonstrate that international law recognises the destruction of the environment as capable of threatening civilian survival and human security.</w:t>
      </w:r>
    </w:p>
    <w:p w14:paraId="390A0980" w14:textId="77777777" w:rsidR="003C37FB" w:rsidRPr="00D723FF" w:rsidRDefault="003C37FB" w:rsidP="00D723FF">
      <w:pPr>
        <w:pStyle w:val="Normaalweb"/>
        <w:spacing w:line="360" w:lineRule="auto"/>
        <w:jc w:val="both"/>
        <w:rPr>
          <w:rFonts w:cs="Times New Roman"/>
        </w:rPr>
      </w:pPr>
    </w:p>
    <w:p w14:paraId="1D760B2C" w14:textId="00186C77" w:rsidR="003C37FB" w:rsidRPr="00D723FF" w:rsidRDefault="00FE36BD" w:rsidP="00C7415B">
      <w:pPr>
        <w:pStyle w:val="Kop3"/>
        <w:spacing w:before="0" w:after="0" w:line="360" w:lineRule="auto"/>
        <w:jc w:val="both"/>
        <w:rPr>
          <w:rFonts w:cs="Times New Roman"/>
        </w:rPr>
      </w:pPr>
      <w:bookmarkStart w:id="20" w:name="_Toc230376195"/>
      <w:r w:rsidRPr="00D723FF">
        <w:rPr>
          <w:rFonts w:cs="Times New Roman"/>
        </w:rPr>
        <w:t>2.3.2. The ENMOD Convention</w:t>
      </w:r>
      <w:bookmarkEnd w:id="20"/>
      <w:r w:rsidR="003C37FB" w:rsidRPr="00D723FF">
        <w:rPr>
          <w:rFonts w:cs="Times New Roman"/>
        </w:rPr>
        <w:tab/>
      </w:r>
    </w:p>
    <w:p w14:paraId="2F2E6A67" w14:textId="21B37F74" w:rsidR="003C37FB" w:rsidRPr="00D723FF" w:rsidRDefault="00FE36BD" w:rsidP="00C7415B">
      <w:pPr>
        <w:pStyle w:val="Normaalweb"/>
        <w:spacing w:after="0" w:line="360" w:lineRule="auto"/>
        <w:jc w:val="both"/>
        <w:rPr>
          <w:rFonts w:cs="Times New Roman"/>
        </w:rPr>
      </w:pPr>
      <w:r w:rsidRPr="00D723FF">
        <w:rPr>
          <w:rFonts w:cs="Times New Roman"/>
        </w:rPr>
        <w:t xml:space="preserve">Environmental protection in armed conflict is further addressed by the Convention on the </w:t>
      </w:r>
      <w:r w:rsidRPr="00013D57">
        <w:rPr>
          <w:rFonts w:cs="Times New Roman"/>
        </w:rPr>
        <w:t>Prohibition of Military or Any Other Hostile Use of Environmental Modification Techniques</w:t>
      </w:r>
      <w:r w:rsidRPr="00D723FF">
        <w:rPr>
          <w:rFonts w:cs="Times New Roman"/>
        </w:rPr>
        <w:t xml:space="preserve"> (</w:t>
      </w:r>
      <w:r w:rsidR="00826E54">
        <w:rPr>
          <w:rFonts w:cs="Times New Roman"/>
        </w:rPr>
        <w:t xml:space="preserve">hereafter: </w:t>
      </w:r>
      <w:r w:rsidRPr="00D723FF">
        <w:rPr>
          <w:rFonts w:cs="Times New Roman"/>
        </w:rPr>
        <w:t>‘</w:t>
      </w:r>
      <w:r w:rsidRPr="00013D57">
        <w:rPr>
          <w:rFonts w:cs="Times New Roman"/>
        </w:rPr>
        <w:t>ENMOD Convention</w:t>
      </w:r>
      <w:r w:rsidRPr="00D723FF">
        <w:rPr>
          <w:rFonts w:cs="Times New Roman"/>
        </w:rPr>
        <w:t>’).</w:t>
      </w:r>
      <w:r w:rsidR="003C37FB" w:rsidRPr="00D723FF">
        <w:rPr>
          <w:rStyle w:val="Voetnootmarkering"/>
          <w:rFonts w:cs="Times New Roman"/>
        </w:rPr>
        <w:footnoteReference w:id="81"/>
      </w:r>
      <w:r w:rsidR="003C37FB" w:rsidRPr="00D723FF">
        <w:rPr>
          <w:rFonts w:cs="Times New Roman"/>
        </w:rPr>
        <w:t xml:space="preserve"> </w:t>
      </w:r>
      <w:r w:rsidRPr="00D723FF">
        <w:rPr>
          <w:rFonts w:cs="Times New Roman"/>
        </w:rPr>
        <w:t>The Convention prohibits the hostile use of environmental modification techniques having widespread, long-lasting or severe effects.</w:t>
      </w:r>
      <w:r w:rsidR="000F3478" w:rsidRPr="00D723FF">
        <w:rPr>
          <w:rStyle w:val="Voetnootmarkering"/>
          <w:rFonts w:cs="Times New Roman"/>
        </w:rPr>
        <w:footnoteReference w:id="82"/>
      </w:r>
      <w:r w:rsidR="0093684C" w:rsidRPr="00D723FF">
        <w:rPr>
          <w:rFonts w:cs="Times New Roman"/>
        </w:rPr>
        <w:t xml:space="preserve"> </w:t>
      </w:r>
      <w:r w:rsidR="009A3989" w:rsidRPr="00D723FF">
        <w:rPr>
          <w:rFonts w:cs="Times New Roman"/>
        </w:rPr>
        <w:t>In comparison</w:t>
      </w:r>
      <w:r w:rsidR="0093684C" w:rsidRPr="00D723FF">
        <w:rPr>
          <w:rFonts w:cs="Times New Roman"/>
        </w:rPr>
        <w:t xml:space="preserve"> to Additional Protocol I, the customary status of the ENMOD Convention remains debated and State practice appears divided. Certain military manuals, including those of Israel, South Korea and New Zealand, suggest that the Convention binds only its contracting parties.</w:t>
      </w:r>
      <w:r w:rsidR="0093684C" w:rsidRPr="00D723FF">
        <w:rPr>
          <w:rStyle w:val="Voetnootmarkering"/>
          <w:rFonts w:cs="Times New Roman"/>
        </w:rPr>
        <w:footnoteReference w:id="83"/>
      </w:r>
      <w:r w:rsidR="0093684C" w:rsidRPr="00D723FF">
        <w:rPr>
          <w:rFonts w:cs="Times New Roman"/>
        </w:rPr>
        <w:t xml:space="preserve"> </w:t>
      </w:r>
      <w:r w:rsidR="0078788E" w:rsidRPr="00D723FF">
        <w:rPr>
          <w:rFonts w:cs="Times New Roman"/>
        </w:rPr>
        <w:t>Despite this</w:t>
      </w:r>
      <w:r w:rsidR="0093684C" w:rsidRPr="00D723FF">
        <w:rPr>
          <w:rFonts w:cs="Times New Roman"/>
        </w:rPr>
        <w:t xml:space="preserve">, other States, such as Indonesia, </w:t>
      </w:r>
      <w:r w:rsidR="00240617">
        <w:rPr>
          <w:rFonts w:cs="Times New Roman"/>
        </w:rPr>
        <w:tab/>
      </w:r>
      <w:r w:rsidR="00240617">
        <w:rPr>
          <w:rFonts w:cs="Times New Roman"/>
        </w:rPr>
        <w:br/>
      </w:r>
      <w:r w:rsidR="0093684C" w:rsidRPr="00D723FF">
        <w:rPr>
          <w:rFonts w:cs="Times New Roman"/>
        </w:rPr>
        <w:lastRenderedPageBreak/>
        <w:t>have incorporated similar rules into their military manuals despite not being parties to the Convention.</w:t>
      </w:r>
      <w:r w:rsidR="004E144F" w:rsidRPr="00D723FF">
        <w:rPr>
          <w:rStyle w:val="Voetnootmarkering"/>
          <w:rFonts w:cs="Times New Roman"/>
        </w:rPr>
        <w:footnoteReference w:id="84"/>
      </w:r>
      <w:r w:rsidR="006F2C64" w:rsidRPr="00D723FF">
        <w:rPr>
          <w:rFonts w:cs="Times New Roman"/>
        </w:rPr>
        <w:tab/>
      </w:r>
      <w:r w:rsidR="006F2C64" w:rsidRPr="00D723FF">
        <w:rPr>
          <w:rFonts w:cs="Times New Roman"/>
        </w:rPr>
        <w:br/>
      </w:r>
      <w:r w:rsidR="006F2C64" w:rsidRPr="00D723FF">
        <w:rPr>
          <w:rFonts w:cs="Times New Roman"/>
        </w:rPr>
        <w:br/>
      </w:r>
      <w:r w:rsidRPr="00D723FF">
        <w:rPr>
          <w:rFonts w:cs="Times New Roman"/>
        </w:rPr>
        <w:t xml:space="preserve">Unlike </w:t>
      </w:r>
      <w:r w:rsidRPr="00013D57">
        <w:rPr>
          <w:rFonts w:cs="Times New Roman"/>
        </w:rPr>
        <w:t>Additional Protocol</w:t>
      </w:r>
      <w:r w:rsidRPr="00D723FF">
        <w:rPr>
          <w:rFonts w:cs="Times New Roman"/>
          <w:i/>
          <w:iCs/>
        </w:rPr>
        <w:t xml:space="preserve"> </w:t>
      </w:r>
      <w:r w:rsidRPr="00D723FF">
        <w:rPr>
          <w:rFonts w:cs="Times New Roman"/>
        </w:rPr>
        <w:t xml:space="preserve">I, which focuses on environmental damage resulting from warfare, the </w:t>
      </w:r>
      <w:r w:rsidRPr="00013D57">
        <w:rPr>
          <w:rFonts w:cs="Times New Roman"/>
        </w:rPr>
        <w:t>ENMOD Convention</w:t>
      </w:r>
      <w:r w:rsidRPr="00D723FF">
        <w:rPr>
          <w:rFonts w:cs="Times New Roman"/>
        </w:rPr>
        <w:t xml:space="preserve"> specifically concerns the </w:t>
      </w:r>
      <w:r w:rsidR="003C37FB" w:rsidRPr="00D723FF">
        <w:rPr>
          <w:rFonts w:cs="Times New Roman"/>
        </w:rPr>
        <w:t>use of the environment as a ‘weapon’</w:t>
      </w:r>
      <w:r w:rsidRPr="00D723FF">
        <w:rPr>
          <w:rFonts w:cs="Times New Roman"/>
        </w:rPr>
        <w:t>.</w:t>
      </w:r>
      <w:r w:rsidR="003C37FB" w:rsidRPr="00D723FF">
        <w:rPr>
          <w:rStyle w:val="Voetnootmarkering"/>
          <w:rFonts w:cs="Times New Roman"/>
        </w:rPr>
        <w:footnoteReference w:id="85"/>
      </w:r>
      <w:r w:rsidRPr="00D723FF">
        <w:rPr>
          <w:rFonts w:cs="Times New Roman"/>
        </w:rPr>
        <w:t xml:space="preserve"> The Convention therefore illustrates that international law already recognises the possibility that the environment itself may be </w:t>
      </w:r>
      <w:r w:rsidR="00013D57">
        <w:rPr>
          <w:rFonts w:cs="Times New Roman"/>
        </w:rPr>
        <w:t>applied</w:t>
      </w:r>
      <w:r w:rsidRPr="00D723FF">
        <w:rPr>
          <w:rFonts w:cs="Times New Roman"/>
        </w:rPr>
        <w:t xml:space="preserve"> as a weapon.</w:t>
      </w:r>
      <w:r w:rsidR="007D60EC" w:rsidRPr="00D723FF">
        <w:rPr>
          <w:rFonts w:cs="Times New Roman"/>
        </w:rPr>
        <w:t xml:space="preserve"> </w:t>
      </w:r>
      <w:r w:rsidR="00B8268E" w:rsidRPr="00D723FF">
        <w:rPr>
          <w:rFonts w:cs="Times New Roman"/>
        </w:rPr>
        <w:t xml:space="preserve">In the context of genocide, the intentional destruction or manipulation of environmental conditions may operate as a method of attacking the survival of a protected group. The </w:t>
      </w:r>
      <w:r w:rsidR="00013D57">
        <w:rPr>
          <w:rFonts w:cs="Times New Roman"/>
        </w:rPr>
        <w:t xml:space="preserve">ENMOD </w:t>
      </w:r>
      <w:r w:rsidR="00B8268E" w:rsidRPr="00D723FF">
        <w:rPr>
          <w:rFonts w:cs="Times New Roman"/>
        </w:rPr>
        <w:t>Convention therefore supports the broader understanding that environmental destruction may, under certain circumstances, constitute more than mere collateral damage and instead function as a deliberate means of inflicting destructive conditions of life upon civilian populations.</w:t>
      </w:r>
    </w:p>
    <w:p w14:paraId="47CD96FC" w14:textId="77777777" w:rsidR="00B8268E" w:rsidRPr="00D723FF" w:rsidRDefault="00B8268E" w:rsidP="00D723FF">
      <w:pPr>
        <w:pStyle w:val="Normaalweb"/>
        <w:spacing w:line="360" w:lineRule="auto"/>
        <w:jc w:val="both"/>
        <w:rPr>
          <w:rFonts w:cs="Times New Roman"/>
        </w:rPr>
      </w:pPr>
    </w:p>
    <w:p w14:paraId="56375314" w14:textId="2BE80A79" w:rsidR="003F5DFF" w:rsidRPr="00D723FF" w:rsidRDefault="0078788E" w:rsidP="00D723FF">
      <w:pPr>
        <w:pStyle w:val="Kop2"/>
        <w:spacing w:line="360" w:lineRule="auto"/>
        <w:rPr>
          <w:rFonts w:ascii="Times New Roman" w:hAnsi="Times New Roman" w:cs="Times New Roman"/>
        </w:rPr>
      </w:pPr>
      <w:bookmarkStart w:id="21" w:name="_Toc230376196"/>
      <w:r w:rsidRPr="00D723FF">
        <w:rPr>
          <w:rFonts w:ascii="Times New Roman" w:hAnsi="Times New Roman" w:cs="Times New Roman"/>
        </w:rPr>
        <w:t xml:space="preserve">2.4. </w:t>
      </w:r>
      <w:r w:rsidR="00FE36BD" w:rsidRPr="00D723FF">
        <w:rPr>
          <w:rFonts w:ascii="Times New Roman" w:hAnsi="Times New Roman" w:cs="Times New Roman"/>
        </w:rPr>
        <w:t xml:space="preserve"> </w:t>
      </w:r>
      <w:proofErr w:type="spellStart"/>
      <w:r w:rsidR="00FE36BD" w:rsidRPr="00D723FF">
        <w:rPr>
          <w:rFonts w:ascii="Times New Roman" w:hAnsi="Times New Roman" w:cs="Times New Roman"/>
        </w:rPr>
        <w:t>Customary</w:t>
      </w:r>
      <w:proofErr w:type="spellEnd"/>
      <w:r w:rsidR="00FE36BD" w:rsidRPr="00D723FF">
        <w:rPr>
          <w:rFonts w:ascii="Times New Roman" w:hAnsi="Times New Roman" w:cs="Times New Roman"/>
        </w:rPr>
        <w:t xml:space="preserve"> </w:t>
      </w:r>
      <w:r w:rsidR="00A90AA9" w:rsidRPr="00D723FF">
        <w:rPr>
          <w:rFonts w:ascii="Times New Roman" w:hAnsi="Times New Roman" w:cs="Times New Roman"/>
        </w:rPr>
        <w:t>i</w:t>
      </w:r>
      <w:r w:rsidR="00FE36BD" w:rsidRPr="00D723FF">
        <w:rPr>
          <w:rFonts w:ascii="Times New Roman" w:hAnsi="Times New Roman" w:cs="Times New Roman"/>
        </w:rPr>
        <w:t xml:space="preserve">nternational </w:t>
      </w:r>
      <w:proofErr w:type="spellStart"/>
      <w:r w:rsidR="00A90AA9" w:rsidRPr="00D723FF">
        <w:rPr>
          <w:rFonts w:ascii="Times New Roman" w:hAnsi="Times New Roman" w:cs="Times New Roman"/>
        </w:rPr>
        <w:t>h</w:t>
      </w:r>
      <w:r w:rsidR="00FE36BD" w:rsidRPr="00D723FF">
        <w:rPr>
          <w:rFonts w:ascii="Times New Roman" w:hAnsi="Times New Roman" w:cs="Times New Roman"/>
        </w:rPr>
        <w:t>umanitarian</w:t>
      </w:r>
      <w:proofErr w:type="spellEnd"/>
      <w:r w:rsidR="00FE36BD" w:rsidRPr="00D723FF">
        <w:rPr>
          <w:rFonts w:ascii="Times New Roman" w:hAnsi="Times New Roman" w:cs="Times New Roman"/>
        </w:rPr>
        <w:t xml:space="preserve"> </w:t>
      </w:r>
      <w:proofErr w:type="spellStart"/>
      <w:r w:rsidR="00A90AA9" w:rsidRPr="00D723FF">
        <w:rPr>
          <w:rFonts w:ascii="Times New Roman" w:hAnsi="Times New Roman" w:cs="Times New Roman"/>
        </w:rPr>
        <w:t>l</w:t>
      </w:r>
      <w:r w:rsidR="00FE36BD" w:rsidRPr="00D723FF">
        <w:rPr>
          <w:rFonts w:ascii="Times New Roman" w:hAnsi="Times New Roman" w:cs="Times New Roman"/>
        </w:rPr>
        <w:t>aw</w:t>
      </w:r>
      <w:bookmarkEnd w:id="21"/>
      <w:proofErr w:type="spellEnd"/>
    </w:p>
    <w:p w14:paraId="119CEF74" w14:textId="2AD2F530" w:rsidR="00FE36BD" w:rsidRPr="00D723FF" w:rsidRDefault="00134A44" w:rsidP="00D723FF">
      <w:pPr>
        <w:pStyle w:val="Normaalweb"/>
        <w:spacing w:line="360" w:lineRule="auto"/>
        <w:jc w:val="both"/>
        <w:rPr>
          <w:rFonts w:cs="Times New Roman"/>
          <w:lang w:val="en-US"/>
        </w:rPr>
      </w:pPr>
      <w:r w:rsidRPr="00D723FF">
        <w:rPr>
          <w:rFonts w:cs="Times New Roman"/>
        </w:rPr>
        <w:t>Beyond treaty law, certain obligations concerning environmental protection have also emerged under customary international humanitarian law. As stated above, the customary status and precise scope of treaty-based environmental protections remain debated. This is relevant because it reflects a broader recognition within international law that environmental destruction may directly affect conditions necessary for civilian survival.</w:t>
      </w:r>
      <w:r w:rsidRPr="00D723FF">
        <w:rPr>
          <w:rStyle w:val="Voetnootmarkering"/>
          <w:rFonts w:cs="Times New Roman"/>
        </w:rPr>
        <w:footnoteReference w:id="86"/>
      </w:r>
      <w:r w:rsidR="006F2C64" w:rsidRPr="00D723FF">
        <w:rPr>
          <w:rFonts w:cs="Times New Roman"/>
        </w:rPr>
        <w:tab/>
      </w:r>
      <w:r w:rsidR="006F2C64" w:rsidRPr="00D723FF">
        <w:rPr>
          <w:rFonts w:cs="Times New Roman"/>
        </w:rPr>
        <w:br/>
      </w:r>
      <w:r w:rsidR="006F2C64" w:rsidRPr="00D723FF">
        <w:rPr>
          <w:rFonts w:cs="Times New Roman"/>
        </w:rPr>
        <w:br/>
      </w:r>
      <w:r w:rsidR="00B40F5A" w:rsidRPr="00D723FF">
        <w:rPr>
          <w:rFonts w:cs="Times New Roman"/>
          <w:lang w:val="en-US"/>
        </w:rPr>
        <w:t>These customary protections</w:t>
      </w:r>
      <w:r w:rsidR="00486F6C" w:rsidRPr="00D723FF">
        <w:rPr>
          <w:rFonts w:cs="Times New Roman"/>
          <w:lang w:val="en-US"/>
        </w:rPr>
        <w:t>,</w:t>
      </w:r>
      <w:r w:rsidR="00486F6C" w:rsidRPr="00D723FF">
        <w:rPr>
          <w:rFonts w:cs="Times New Roman"/>
        </w:rPr>
        <w:t xml:space="preserve"> </w:t>
      </w:r>
      <w:r w:rsidR="00486F6C" w:rsidRPr="00D723FF">
        <w:rPr>
          <w:rFonts w:cs="Times New Roman"/>
        </w:rPr>
        <w:t>including protections against widespread environmental destruction and against attacks on objects indispensable to civilian survival</w:t>
      </w:r>
      <w:r w:rsidR="00B40F5A" w:rsidRPr="00D723FF">
        <w:rPr>
          <w:rFonts w:cs="Times New Roman"/>
          <w:lang w:val="en-US"/>
        </w:rPr>
        <w:t xml:space="preserve"> further illustrate how international law increasingly </w:t>
      </w:r>
      <w:proofErr w:type="spellStart"/>
      <w:r w:rsidR="00B40F5A" w:rsidRPr="00D723FF">
        <w:rPr>
          <w:rFonts w:cs="Times New Roman"/>
          <w:lang w:val="en-US"/>
        </w:rPr>
        <w:t>recognises</w:t>
      </w:r>
      <w:proofErr w:type="spellEnd"/>
      <w:r w:rsidR="00B40F5A" w:rsidRPr="00D723FF">
        <w:rPr>
          <w:rFonts w:cs="Times New Roman"/>
          <w:lang w:val="en-US"/>
        </w:rPr>
        <w:t xml:space="preserve"> the connection between environmental destruction and the conditions necessary for civilian survival. </w:t>
      </w:r>
      <w:r w:rsidR="007D60EC" w:rsidRPr="00D723FF">
        <w:rPr>
          <w:rFonts w:cs="Times New Roman"/>
          <w:lang w:val="en-US"/>
        </w:rPr>
        <w:t>Nonetheless</w:t>
      </w:r>
      <w:r w:rsidR="00B40F5A" w:rsidRPr="00D723FF">
        <w:rPr>
          <w:rFonts w:cs="Times New Roman"/>
          <w:lang w:val="en-US"/>
        </w:rPr>
        <w:t>, the existence of such protections does not in itself determine whether environmental destruction amounts to genocide. As will be discussed further below in relation to the Darfur situation (see</w:t>
      </w:r>
      <w:r w:rsidR="00874A07" w:rsidRPr="00D723FF">
        <w:rPr>
          <w:rFonts w:cs="Times New Roman"/>
          <w:lang w:val="en-US"/>
        </w:rPr>
        <w:t xml:space="preserve"> </w:t>
      </w:r>
      <w:r w:rsidR="00874A07" w:rsidRPr="00D723FF">
        <w:rPr>
          <w:rFonts w:cs="Times New Roman"/>
          <w:i/>
          <w:iCs/>
          <w:lang w:val="en-US"/>
        </w:rPr>
        <w:t>supra</w:t>
      </w:r>
      <w:r w:rsidR="00874A07" w:rsidRPr="00D723FF">
        <w:rPr>
          <w:rFonts w:cs="Times New Roman"/>
          <w:lang w:val="en-US"/>
        </w:rPr>
        <w:t xml:space="preserve"> Chapter 1.2.2.)</w:t>
      </w:r>
      <w:r w:rsidR="00B40F5A" w:rsidRPr="00D723FF">
        <w:rPr>
          <w:rFonts w:cs="Times New Roman"/>
          <w:lang w:val="en-US"/>
        </w:rPr>
        <w:t xml:space="preserve">, the destruction of resources indispensable to survival, such as wells, crops and livestock, </w:t>
      </w:r>
      <w:r w:rsidR="00240617">
        <w:rPr>
          <w:rFonts w:cs="Times New Roman"/>
          <w:lang w:val="en-US"/>
        </w:rPr>
        <w:br/>
      </w:r>
      <w:r w:rsidR="00B40F5A" w:rsidRPr="00D723FF">
        <w:rPr>
          <w:rFonts w:cs="Times New Roman"/>
          <w:lang w:val="en-US"/>
        </w:rPr>
        <w:lastRenderedPageBreak/>
        <w:t xml:space="preserve">may </w:t>
      </w:r>
      <w:r w:rsidR="007D60EC" w:rsidRPr="00D723FF">
        <w:rPr>
          <w:rFonts w:cs="Times New Roman"/>
          <w:lang w:val="en-US"/>
        </w:rPr>
        <w:t>render itself</w:t>
      </w:r>
      <w:r w:rsidR="00B40F5A" w:rsidRPr="00D723FF">
        <w:rPr>
          <w:rFonts w:cs="Times New Roman"/>
          <w:lang w:val="en-US"/>
        </w:rPr>
        <w:t xml:space="preserve"> legally relevant under Article II(c) of the Genocide Convention where such conduct forms part of a broader process aimed at the physical destruction of a protected group</w:t>
      </w:r>
      <w:r w:rsidR="00874A07" w:rsidRPr="00D723FF">
        <w:rPr>
          <w:rFonts w:cs="Times New Roman"/>
          <w:lang w:val="en-US"/>
        </w:rPr>
        <w:t xml:space="preserve"> (see </w:t>
      </w:r>
      <w:r w:rsidR="00874A07" w:rsidRPr="00D723FF">
        <w:rPr>
          <w:rFonts w:cs="Times New Roman"/>
          <w:i/>
          <w:iCs/>
          <w:lang w:val="en-US"/>
        </w:rPr>
        <w:t xml:space="preserve">infra </w:t>
      </w:r>
      <w:r w:rsidR="00874A07" w:rsidRPr="00D723FF">
        <w:rPr>
          <w:rFonts w:cs="Times New Roman"/>
          <w:lang w:val="en-US"/>
        </w:rPr>
        <w:t>Chapter</w:t>
      </w:r>
      <w:r w:rsidR="002543D7" w:rsidRPr="00D723FF">
        <w:rPr>
          <w:rFonts w:cs="Times New Roman"/>
          <w:lang w:val="en-US"/>
        </w:rPr>
        <w:t xml:space="preserve"> 3.</w:t>
      </w:r>
      <w:r w:rsidR="00874A07" w:rsidRPr="00D723FF">
        <w:rPr>
          <w:rFonts w:cs="Times New Roman"/>
          <w:lang w:val="en-US"/>
        </w:rPr>
        <w:t>)</w:t>
      </w:r>
      <w:r w:rsidR="00B40F5A" w:rsidRPr="00D723FF">
        <w:rPr>
          <w:rFonts w:cs="Times New Roman"/>
          <w:lang w:val="en-US"/>
        </w:rPr>
        <w:t>.</w:t>
      </w:r>
      <w:r w:rsidR="00240617">
        <w:rPr>
          <w:rFonts w:cs="Times New Roman"/>
          <w:lang w:val="en-US"/>
        </w:rPr>
        <w:tab/>
      </w:r>
      <w:r w:rsidR="00EF356D">
        <w:rPr>
          <w:rFonts w:cs="Times New Roman"/>
          <w:lang w:val="en-US"/>
        </w:rPr>
        <w:br/>
      </w:r>
    </w:p>
    <w:p w14:paraId="2E5BC74C" w14:textId="4A916BB1" w:rsidR="00A2153A" w:rsidRPr="00D723FF" w:rsidRDefault="00C07635" w:rsidP="00D723FF">
      <w:pPr>
        <w:pStyle w:val="Kop2"/>
        <w:spacing w:line="360" w:lineRule="auto"/>
        <w:rPr>
          <w:rFonts w:ascii="Times New Roman" w:hAnsi="Times New Roman" w:cs="Times New Roman"/>
          <w:lang w:val="en-US"/>
        </w:rPr>
      </w:pPr>
      <w:bookmarkStart w:id="22" w:name="_Toc230376197"/>
      <w:r w:rsidRPr="00D723FF">
        <w:rPr>
          <w:rFonts w:ascii="Times New Roman" w:hAnsi="Times New Roman" w:cs="Times New Roman"/>
          <w:lang w:val="en-US"/>
        </w:rPr>
        <w:t>2.5. Interim Conclusion</w:t>
      </w:r>
      <w:bookmarkEnd w:id="22"/>
    </w:p>
    <w:p w14:paraId="3DF3765A" w14:textId="763EE29D" w:rsidR="00805105" w:rsidRPr="00D723FF" w:rsidRDefault="00A2153A" w:rsidP="00D723FF">
      <w:pPr>
        <w:spacing w:line="360" w:lineRule="auto"/>
        <w:jc w:val="both"/>
        <w:rPr>
          <w:rFonts w:eastAsiaTheme="minorHAnsi"/>
          <w:lang w:val="nl-BE" w:eastAsia="en-US"/>
        </w:rPr>
      </w:pPr>
      <w:r w:rsidRPr="00D723FF">
        <w:rPr>
          <w:rFonts w:eastAsiaTheme="minorHAnsi"/>
          <w:lang w:val="nl-BE" w:eastAsia="en-US"/>
        </w:rPr>
        <w:t xml:space="preserve">This chapter has demonstrated that international law increasingly recognises the relationship between environmental destruction and the conditions necessary for civilian survival. Although no comprehensive definition of </w:t>
      </w:r>
      <w:r w:rsidR="00013D57">
        <w:rPr>
          <w:rFonts w:eastAsiaTheme="minorHAnsi"/>
          <w:lang w:val="nl-BE" w:eastAsia="en-US"/>
        </w:rPr>
        <w:t>this</w:t>
      </w:r>
      <w:r w:rsidRPr="00D723FF">
        <w:rPr>
          <w:rFonts w:eastAsiaTheme="minorHAnsi"/>
          <w:lang w:val="nl-BE" w:eastAsia="en-US"/>
        </w:rPr>
        <w:t xml:space="preserve"> destruction exists under international law, both treaty law and customary international humanitarian law acknowledge that severe environmental harm may produce devastating humanitarian consequences. In particular, the protection of objects indispensable to civilian survival and the prohibition of widespread environmental destruction reflect a broader understanding that environmental harm may threaten the survival of civilian populations.</w:t>
      </w:r>
      <w:r w:rsidRPr="00D723FF">
        <w:rPr>
          <w:rFonts w:eastAsiaTheme="minorHAnsi"/>
          <w:lang w:val="nl-BE" w:eastAsia="en-US"/>
        </w:rPr>
        <w:tab/>
      </w:r>
      <w:r w:rsidRPr="00D723FF">
        <w:rPr>
          <w:rFonts w:eastAsiaTheme="minorHAnsi"/>
          <w:lang w:val="nl-BE" w:eastAsia="en-US"/>
        </w:rPr>
        <w:br/>
      </w:r>
      <w:r w:rsidRPr="00D723FF">
        <w:rPr>
          <w:rFonts w:eastAsiaTheme="minorHAnsi"/>
          <w:lang w:val="nl-BE" w:eastAsia="en-US"/>
        </w:rPr>
        <w:br/>
      </w:r>
      <w:r w:rsidR="00013D57">
        <w:rPr>
          <w:rFonts w:eastAsiaTheme="minorHAnsi"/>
          <w:szCs w:val="22"/>
          <w:lang w:val="nl-BE" w:eastAsia="en-US"/>
        </w:rPr>
        <w:t>Simultaneously</w:t>
      </w:r>
      <w:r w:rsidR="00805105" w:rsidRPr="00D723FF">
        <w:rPr>
          <w:rFonts w:eastAsiaTheme="minorHAnsi"/>
          <w:szCs w:val="22"/>
          <w:lang w:val="nl-BE" w:eastAsia="en-US"/>
        </w:rPr>
        <w:t>, the existing legal framework remains fragmented and subject to significant limitations, including high legal thresholds and uncertainty regarding the precise scope and customary status of certain rules. Nevertheless, these developments remain relevant to the interpretation of Article II(c) of the Genocide Convention, as they demonstrate that international law increasingly recognises environmental destruction as capable of undermining the conditions of life necessary for the survival of protected groups.</w:t>
      </w:r>
      <w:r w:rsidR="00805105" w:rsidRPr="00D723FF">
        <w:rPr>
          <w:rFonts w:eastAsiaTheme="minorHAnsi"/>
          <w:szCs w:val="22"/>
          <w:lang w:val="nl-BE" w:eastAsia="en-US"/>
        </w:rPr>
        <w:tab/>
      </w:r>
      <w:r w:rsidR="00805105" w:rsidRPr="00D723FF">
        <w:rPr>
          <w:rFonts w:eastAsiaTheme="minorHAnsi"/>
          <w:szCs w:val="22"/>
          <w:lang w:val="nl-BE" w:eastAsia="en-US"/>
        </w:rPr>
        <w:br/>
      </w:r>
    </w:p>
    <w:p w14:paraId="7B815CD9" w14:textId="2C7274B1" w:rsidR="00876AAB" w:rsidRPr="00D723FF" w:rsidRDefault="00C443C5" w:rsidP="00D723FF">
      <w:pPr>
        <w:pStyle w:val="Kop1"/>
        <w:spacing w:line="360" w:lineRule="auto"/>
        <w:rPr>
          <w:rFonts w:ascii="Times New Roman" w:hAnsi="Times New Roman" w:cs="Times New Roman"/>
          <w:lang w:val="en-US"/>
        </w:rPr>
      </w:pPr>
      <w:bookmarkStart w:id="23" w:name="_Toc230376198"/>
      <w:r w:rsidRPr="00D723FF">
        <w:rPr>
          <w:rFonts w:ascii="Times New Roman" w:hAnsi="Times New Roman" w:cs="Times New Roman"/>
          <w:lang w:val="en-US"/>
        </w:rPr>
        <w:t xml:space="preserve">Chapter </w:t>
      </w:r>
      <w:r w:rsidR="00F55957" w:rsidRPr="00D723FF">
        <w:rPr>
          <w:rFonts w:ascii="Times New Roman" w:hAnsi="Times New Roman" w:cs="Times New Roman"/>
          <w:lang w:val="en-US"/>
        </w:rPr>
        <w:t>3</w:t>
      </w:r>
      <w:r w:rsidRPr="00D723FF">
        <w:rPr>
          <w:rFonts w:ascii="Times New Roman" w:hAnsi="Times New Roman" w:cs="Times New Roman"/>
          <w:lang w:val="en-US"/>
        </w:rPr>
        <w:t>. Interpretation of Article II(c) of the Genocide Convention</w:t>
      </w:r>
      <w:bookmarkEnd w:id="23"/>
    </w:p>
    <w:p w14:paraId="2FA03E5A" w14:textId="139EDBD0" w:rsidR="00FD2B3D" w:rsidRPr="00D723FF" w:rsidRDefault="002543D7" w:rsidP="00731554">
      <w:pPr>
        <w:spacing w:before="100" w:beforeAutospacing="1" w:after="0" w:line="360" w:lineRule="auto"/>
        <w:jc w:val="both"/>
        <w:rPr>
          <w:lang w:val="en-US"/>
        </w:rPr>
      </w:pPr>
      <w:r w:rsidRPr="00D723FF">
        <w:rPr>
          <w:lang w:val="en-US"/>
        </w:rPr>
        <w:t>Before it can be determined under which circumstances environmental destruction may fall within the scope of genocide, it must first be examined whether such conduct is capable of being interpreted within the meaning of Article II(c) at all.</w:t>
      </w:r>
      <w:r w:rsidRPr="00D723FF">
        <w:rPr>
          <w:lang w:val="en-US"/>
        </w:rPr>
        <w:tab/>
      </w:r>
      <w:r w:rsidRPr="00D723FF">
        <w:rPr>
          <w:lang w:val="en-US"/>
        </w:rPr>
        <w:br/>
      </w:r>
      <w:r w:rsidRPr="00D723FF">
        <w:rPr>
          <w:lang w:val="en-US" w:eastAsia="nl-NL"/>
        </w:rPr>
        <w:br/>
      </w:r>
      <w:r w:rsidR="004F2020" w:rsidRPr="00D723FF">
        <w:rPr>
          <w:lang w:val="en-US" w:eastAsia="nl-NL"/>
        </w:rPr>
        <w:t xml:space="preserve">This chapter </w:t>
      </w:r>
      <w:r w:rsidRPr="00D723FF">
        <w:rPr>
          <w:lang w:val="en-US" w:eastAsia="nl-NL"/>
        </w:rPr>
        <w:t xml:space="preserve">explains </w:t>
      </w:r>
      <w:r w:rsidR="004F2020" w:rsidRPr="00D723FF">
        <w:rPr>
          <w:lang w:val="en-US" w:eastAsia="nl-NL"/>
        </w:rPr>
        <w:t xml:space="preserve">how Article II(c) of the Genocide Convention should be interpreted. </w:t>
      </w:r>
      <w:r w:rsidR="00240617">
        <w:rPr>
          <w:lang w:val="en-US" w:eastAsia="nl-NL"/>
        </w:rPr>
        <w:br/>
      </w:r>
      <w:r w:rsidR="00240617">
        <w:rPr>
          <w:lang w:val="en-US" w:eastAsia="nl-NL"/>
        </w:rPr>
        <w:br/>
      </w:r>
      <w:r w:rsidR="004F2020" w:rsidRPr="00D723FF">
        <w:rPr>
          <w:lang w:val="en-US" w:eastAsia="nl-NL"/>
        </w:rPr>
        <w:lastRenderedPageBreak/>
        <w:t>The issue is whether the notion of “conditions of life calculated to bring about the physical destruction of a group” can include indirect forms of harm, such as environmental destruction.</w:t>
      </w:r>
      <w:r w:rsidR="00A87F89" w:rsidRPr="00D723FF">
        <w:rPr>
          <w:lang w:val="en-US"/>
        </w:rPr>
        <w:t xml:space="preserve"> </w:t>
      </w:r>
      <w:r w:rsidR="00731554">
        <w:rPr>
          <w:lang w:val="en-US"/>
        </w:rPr>
        <w:tab/>
      </w:r>
      <w:r w:rsidR="00731554">
        <w:rPr>
          <w:lang w:val="en-US"/>
        </w:rPr>
        <w:br/>
      </w:r>
    </w:p>
    <w:p w14:paraId="56207B5D" w14:textId="1D33EA66" w:rsidR="004F2020" w:rsidRPr="00D723FF" w:rsidRDefault="00FD2B3D" w:rsidP="00731554">
      <w:pPr>
        <w:spacing w:before="100" w:beforeAutospacing="1" w:after="100" w:afterAutospacing="1" w:line="360" w:lineRule="auto"/>
        <w:jc w:val="both"/>
        <w:rPr>
          <w:lang w:val="en-US" w:eastAsia="nl-NL"/>
        </w:rPr>
      </w:pPr>
      <w:r w:rsidRPr="00D723FF">
        <w:rPr>
          <w:lang w:val="en-US"/>
        </w:rPr>
        <w:t xml:space="preserve">This question cannot be answered solely </w:t>
      </w:r>
      <w:proofErr w:type="gramStart"/>
      <w:r w:rsidRPr="00D723FF">
        <w:rPr>
          <w:lang w:val="en-US"/>
        </w:rPr>
        <w:t>on the basis of</w:t>
      </w:r>
      <w:proofErr w:type="gramEnd"/>
      <w:r w:rsidRPr="00D723FF">
        <w:rPr>
          <w:lang w:val="en-US"/>
        </w:rPr>
        <w:t xml:space="preserve"> the wording of Article II(c), since the Convention itself does not clarify how ‘conditions of life’ or ‘physical destruction’ should be interpreted. </w:t>
      </w:r>
      <w:proofErr w:type="spellStart"/>
      <w:r w:rsidR="0046074F" w:rsidRPr="0046074F">
        <w:t>Accordingly</w:t>
      </w:r>
      <w:proofErr w:type="spellEnd"/>
      <w:r w:rsidR="0046074F" w:rsidRPr="0046074F">
        <w:t xml:space="preserve">, </w:t>
      </w:r>
      <w:proofErr w:type="spellStart"/>
      <w:r w:rsidR="0046074F" w:rsidRPr="0046074F">
        <w:t>this</w:t>
      </w:r>
      <w:proofErr w:type="spellEnd"/>
      <w:r w:rsidR="0046074F" w:rsidRPr="0046074F">
        <w:t xml:space="preserve"> </w:t>
      </w:r>
      <w:proofErr w:type="spellStart"/>
      <w:r w:rsidR="0046074F" w:rsidRPr="0046074F">
        <w:t>interpretation</w:t>
      </w:r>
      <w:proofErr w:type="spellEnd"/>
      <w:r w:rsidR="0046074F" w:rsidRPr="0046074F">
        <w:t xml:space="preserve"> </w:t>
      </w:r>
      <w:proofErr w:type="spellStart"/>
      <w:r w:rsidR="0046074F" w:rsidRPr="0046074F">
        <w:t>becomes</w:t>
      </w:r>
      <w:proofErr w:type="spellEnd"/>
      <w:r w:rsidR="0046074F" w:rsidRPr="0046074F">
        <w:t xml:space="preserve"> central</w:t>
      </w:r>
      <w:r w:rsidRPr="00D723FF">
        <w:rPr>
          <w:lang w:val="en-US"/>
        </w:rPr>
        <w:t xml:space="preserve"> to this research, since determining whether environmental destruction falls within the scope of genocide depends on how international law defines the limits of these concepts. For that reason, this chapter applies the interpretative framework contained in Articles 31 and 32 of the VCLT.</w:t>
      </w:r>
      <w:r w:rsidR="006F2C64" w:rsidRPr="00D723FF">
        <w:rPr>
          <w:lang w:val="en-US"/>
        </w:rPr>
        <w:tab/>
      </w:r>
      <w:r w:rsidR="00731554">
        <w:rPr>
          <w:lang w:val="en-US"/>
        </w:rPr>
        <w:br/>
      </w:r>
    </w:p>
    <w:p w14:paraId="05305B86" w14:textId="586AB09F" w:rsidR="001D4027" w:rsidRPr="00D723FF" w:rsidRDefault="001D4027" w:rsidP="00D723FF">
      <w:pPr>
        <w:pStyle w:val="Kop2"/>
        <w:spacing w:line="360" w:lineRule="auto"/>
        <w:rPr>
          <w:rFonts w:ascii="Times New Roman" w:hAnsi="Times New Roman" w:cs="Times New Roman"/>
          <w:lang w:val="en-US" w:eastAsia="en-US"/>
        </w:rPr>
      </w:pPr>
      <w:bookmarkStart w:id="24" w:name="_Toc230376199"/>
      <w:r w:rsidRPr="00D723FF">
        <w:rPr>
          <w:rFonts w:ascii="Times New Roman" w:hAnsi="Times New Roman" w:cs="Times New Roman"/>
          <w:lang w:val="en-US"/>
        </w:rPr>
        <w:t>3.1. The distinction between direct and indirect forms of destruction</w:t>
      </w:r>
      <w:bookmarkEnd w:id="24"/>
    </w:p>
    <w:p w14:paraId="2B33CE3E" w14:textId="5063845E" w:rsidR="001D4027" w:rsidRPr="00D723FF" w:rsidRDefault="001D4027" w:rsidP="00D723FF">
      <w:pPr>
        <w:spacing w:line="360" w:lineRule="auto"/>
        <w:jc w:val="both"/>
        <w:rPr>
          <w:lang w:val="en-US" w:eastAsia="en-US"/>
        </w:rPr>
      </w:pPr>
      <w:r w:rsidRPr="00D723FF">
        <w:rPr>
          <w:lang w:val="en-US" w:eastAsia="en-US"/>
        </w:rPr>
        <w:t xml:space="preserve">The Genocide Convention </w:t>
      </w:r>
      <w:proofErr w:type="spellStart"/>
      <w:r w:rsidRPr="00D723FF">
        <w:rPr>
          <w:lang w:val="en-US" w:eastAsia="en-US"/>
        </w:rPr>
        <w:t>recognises</w:t>
      </w:r>
      <w:proofErr w:type="spellEnd"/>
      <w:r w:rsidRPr="00D723FF">
        <w:rPr>
          <w:lang w:val="en-US" w:eastAsia="en-US"/>
        </w:rPr>
        <w:t xml:space="preserve"> that genocide can be committed through both direct and indirect forms of destruction.</w:t>
      </w:r>
      <w:r w:rsidRPr="00D723FF">
        <w:rPr>
          <w:rStyle w:val="Voetnootmarkering"/>
          <w:lang w:val="en-US" w:eastAsia="en-US"/>
        </w:rPr>
        <w:footnoteReference w:id="87"/>
      </w:r>
      <w:r w:rsidRPr="00D723FF">
        <w:rPr>
          <w:lang w:val="en-US" w:eastAsia="en-US"/>
        </w:rPr>
        <w:t xml:space="preserve"> Direct destruction refers to acts that immediately result in the death of members of a protected group, such as killing.</w:t>
      </w:r>
      <w:r w:rsidRPr="00D723FF">
        <w:rPr>
          <w:rStyle w:val="Voetnootmarkering"/>
          <w:lang w:val="en-US" w:eastAsia="en-US"/>
        </w:rPr>
        <w:footnoteReference w:id="88"/>
      </w:r>
      <w:r w:rsidRPr="00D723FF">
        <w:rPr>
          <w:lang w:val="en-US" w:eastAsia="en-US"/>
        </w:rPr>
        <w:t xml:space="preserve"> These acts are explicitly listed in Article II(a) of the Convention and are generally less controversial in their qualification as genocidal conduct.</w:t>
      </w:r>
      <w:r w:rsidRPr="00D723FF">
        <w:rPr>
          <w:rStyle w:val="Voetnootmarkering"/>
          <w:lang w:val="en-US" w:eastAsia="en-US"/>
        </w:rPr>
        <w:footnoteReference w:id="89"/>
      </w:r>
      <w:r w:rsidRPr="00D723FF">
        <w:rPr>
          <w:lang w:val="en-US" w:eastAsia="en-US"/>
        </w:rPr>
        <w:tab/>
      </w:r>
      <w:r w:rsidRPr="00D723FF">
        <w:rPr>
          <w:lang w:val="en-US" w:eastAsia="en-US"/>
        </w:rPr>
        <w:br/>
      </w:r>
      <w:r w:rsidRPr="00D723FF">
        <w:rPr>
          <w:lang w:val="en-US" w:eastAsia="en-US"/>
        </w:rPr>
        <w:br/>
        <w:t>Indirect forms of destruction, by contrast, involve methods that do not cause immediate death but are intended to bring about the physical destruction of the group over time.</w:t>
      </w:r>
      <w:r w:rsidRPr="00D723FF">
        <w:rPr>
          <w:rStyle w:val="Voetnootmarkering"/>
          <w:lang w:val="en-US" w:eastAsia="en-US"/>
        </w:rPr>
        <w:footnoteReference w:id="90"/>
      </w:r>
      <w:r w:rsidRPr="00D723FF">
        <w:rPr>
          <w:lang w:val="en-US" w:eastAsia="en-US"/>
        </w:rPr>
        <w:t xml:space="preserve"> This is reflected in Article II(c) of the Genocide Convention.</w:t>
      </w:r>
      <w:r w:rsidRPr="00D723FF">
        <w:rPr>
          <w:rStyle w:val="Voetnootmarkering"/>
          <w:lang w:val="en-US" w:eastAsia="en-US"/>
        </w:rPr>
        <w:footnoteReference w:id="91"/>
      </w:r>
      <w:r w:rsidRPr="00D723FF">
        <w:rPr>
          <w:lang w:val="en-US" w:eastAsia="en-US"/>
        </w:rPr>
        <w:t xml:space="preserve"> A good historical example of indirect destruction of a group is the expulsion of Armenians in the Armenian genocide.</w:t>
      </w:r>
      <w:r w:rsidRPr="00D723FF">
        <w:rPr>
          <w:rStyle w:val="Voetnootmarkering"/>
          <w:lang w:val="en-US" w:eastAsia="en-US"/>
        </w:rPr>
        <w:footnoteReference w:id="92"/>
      </w:r>
      <w:r w:rsidRPr="00D723FF">
        <w:rPr>
          <w:lang w:val="en-US" w:eastAsia="en-US"/>
        </w:rPr>
        <w:t xml:space="preserve"> </w:t>
      </w:r>
      <w:r w:rsidRPr="00D723FF">
        <w:rPr>
          <w:lang w:val="en-US"/>
        </w:rPr>
        <w:t>Armenians were subjected to conditions</w:t>
      </w:r>
      <w:r w:rsidRPr="00D723FF">
        <w:rPr>
          <w:lang w:val="en-US" w:eastAsia="en-US"/>
        </w:rPr>
        <w:t xml:space="preserve"> </w:t>
      </w:r>
      <w:r w:rsidRPr="00D723FF">
        <w:rPr>
          <w:lang w:val="en-US"/>
        </w:rPr>
        <w:t xml:space="preserve">such as forced displacement, starvation and lack of medical care, </w:t>
      </w:r>
      <w:r w:rsidR="00240617">
        <w:rPr>
          <w:lang w:val="en-US"/>
        </w:rPr>
        <w:br/>
      </w:r>
      <w:r w:rsidRPr="00D723FF">
        <w:rPr>
          <w:lang w:val="en-US"/>
        </w:rPr>
        <w:lastRenderedPageBreak/>
        <w:t>which threatened their physical survival.</w:t>
      </w:r>
      <w:r w:rsidRPr="00D723FF">
        <w:rPr>
          <w:rStyle w:val="Voetnootmarkering"/>
          <w:lang w:val="en-US" w:eastAsia="en-US"/>
        </w:rPr>
        <w:footnoteReference w:id="93"/>
      </w:r>
      <w:r w:rsidR="00731554">
        <w:rPr>
          <w:lang w:val="en-US"/>
        </w:rPr>
        <w:tab/>
      </w:r>
      <w:r w:rsidR="00731554">
        <w:rPr>
          <w:lang w:val="en-US"/>
        </w:rPr>
        <w:br/>
      </w:r>
    </w:p>
    <w:p w14:paraId="1B9318C6" w14:textId="3B469204" w:rsidR="001D4027" w:rsidRPr="00D723FF" w:rsidRDefault="001D4027" w:rsidP="00D723FF">
      <w:pPr>
        <w:spacing w:line="360" w:lineRule="auto"/>
        <w:jc w:val="both"/>
        <w:rPr>
          <w:lang w:val="en-US" w:eastAsia="en-US"/>
        </w:rPr>
      </w:pPr>
      <w:r w:rsidRPr="00D723FF">
        <w:rPr>
          <w:lang w:val="en-US" w:eastAsia="en-US"/>
        </w:rPr>
        <w:t xml:space="preserve">In </w:t>
      </w:r>
      <w:proofErr w:type="spellStart"/>
      <w:r w:rsidRPr="00D723FF">
        <w:rPr>
          <w:i/>
          <w:iCs/>
          <w:lang w:val="en-US" w:eastAsia="en-US"/>
        </w:rPr>
        <w:t>Akayesu</w:t>
      </w:r>
      <w:proofErr w:type="spellEnd"/>
      <w:r w:rsidRPr="00D723FF">
        <w:rPr>
          <w:lang w:val="en-US" w:eastAsia="en-US"/>
        </w:rPr>
        <w:t>, the ICTR clarified that Article II(c) encompasses methods of destruction that do not immediately kill members of the group, but ultimately seek their physical destruction through sustained conditions incompatible with survival.</w:t>
      </w:r>
      <w:r w:rsidRPr="00D723FF">
        <w:rPr>
          <w:rStyle w:val="Voetnootmarkering"/>
          <w:lang w:val="en-US" w:eastAsia="en-US"/>
        </w:rPr>
        <w:footnoteReference w:id="94"/>
      </w:r>
      <w:r w:rsidRPr="00D723FF">
        <w:rPr>
          <w:lang w:val="en-US" w:eastAsia="en-US"/>
        </w:rPr>
        <w:t xml:space="preserve"> The </w:t>
      </w:r>
      <w:r w:rsidR="0046074F">
        <w:rPr>
          <w:lang w:val="en-US" w:eastAsia="en-US"/>
        </w:rPr>
        <w:t>ICTR</w:t>
      </w:r>
      <w:r w:rsidRPr="00D723FF">
        <w:rPr>
          <w:lang w:val="en-US" w:eastAsia="en-US"/>
        </w:rPr>
        <w:t xml:space="preserve"> referred to examples such as subjecting a population to a subsistence diet, systematic expulsion from homes, and the reduction of essential medical services below</w:t>
      </w:r>
      <w:r w:rsidR="0046074F">
        <w:rPr>
          <w:lang w:val="en-US" w:eastAsia="en-US"/>
        </w:rPr>
        <w:t>,</w:t>
      </w:r>
      <w:r w:rsidRPr="00D723FF">
        <w:rPr>
          <w:lang w:val="en-US" w:eastAsia="en-US"/>
        </w:rPr>
        <w:t xml:space="preserve"> minimum requirements.</w:t>
      </w:r>
      <w:r w:rsidRPr="00D723FF">
        <w:rPr>
          <w:rStyle w:val="Voetnootmarkering"/>
          <w:lang w:val="en-US" w:eastAsia="en-US"/>
        </w:rPr>
        <w:footnoteReference w:id="95"/>
      </w:r>
      <w:r w:rsidRPr="00D723FF">
        <w:rPr>
          <w:lang w:val="en-US" w:eastAsia="en-US"/>
        </w:rPr>
        <w:t xml:space="preserve"> This interpretation is particularly relevant for environmental destruction, since the targeting agricultural systems, or habitable land may similarly deprive a protected group of the conditions necessary for survival over time.</w:t>
      </w:r>
      <w:r w:rsidRPr="00D723FF">
        <w:rPr>
          <w:rStyle w:val="Voetnootmarkering"/>
          <w:lang w:val="en-US" w:eastAsia="en-US"/>
        </w:rPr>
        <w:footnoteReference w:id="96"/>
      </w:r>
      <w:r w:rsidRPr="00D723FF">
        <w:rPr>
          <w:lang w:val="en-US" w:eastAsia="en-US"/>
        </w:rPr>
        <w:br/>
      </w:r>
      <w:r w:rsidRPr="00D723FF">
        <w:rPr>
          <w:lang w:val="en-US" w:eastAsia="en-US"/>
        </w:rPr>
        <w:br/>
        <w:t>However, the distinction between direct and indirect destruction also highlights an important threshold. Not all forms of deprivation or suffering qualify as genocide.</w:t>
      </w:r>
      <w:r w:rsidRPr="00D723FF">
        <w:rPr>
          <w:rStyle w:val="Voetnootmarkering"/>
          <w:lang w:val="en-US" w:eastAsia="en-US"/>
        </w:rPr>
        <w:footnoteReference w:id="97"/>
      </w:r>
      <w:r w:rsidRPr="00D723FF">
        <w:rPr>
          <w:lang w:val="en-US" w:eastAsia="en-US"/>
        </w:rPr>
        <w:t xml:space="preserve"> This requires a clear link between the acts and the intended destruction of a protected group.</w:t>
      </w:r>
      <w:r w:rsidRPr="00D723FF">
        <w:rPr>
          <w:lang w:val="en-US" w:eastAsia="en-US"/>
        </w:rPr>
        <w:br/>
      </w:r>
      <w:r w:rsidRPr="00D723FF">
        <w:rPr>
          <w:lang w:val="en-US" w:eastAsia="en-US"/>
        </w:rPr>
        <w:br/>
      </w:r>
      <w:r w:rsidR="00826E54" w:rsidRPr="00826E54">
        <w:rPr>
          <w:lang w:eastAsia="en-US"/>
        </w:rPr>
        <w:t xml:space="preserve">The </w:t>
      </w:r>
      <w:proofErr w:type="spellStart"/>
      <w:r w:rsidR="00826E54" w:rsidRPr="00826E54">
        <w:rPr>
          <w:lang w:eastAsia="en-US"/>
        </w:rPr>
        <w:t>weaponisation</w:t>
      </w:r>
      <w:proofErr w:type="spellEnd"/>
      <w:r w:rsidR="00826E54" w:rsidRPr="00826E54">
        <w:rPr>
          <w:lang w:eastAsia="en-US"/>
        </w:rPr>
        <w:t xml:space="preserve"> of the </w:t>
      </w:r>
      <w:proofErr w:type="spellStart"/>
      <w:r w:rsidR="00826E54" w:rsidRPr="00826E54">
        <w:rPr>
          <w:lang w:eastAsia="en-US"/>
        </w:rPr>
        <w:t>environment</w:t>
      </w:r>
      <w:proofErr w:type="spellEnd"/>
      <w:r w:rsidR="00826E54" w:rsidRPr="00826E54">
        <w:rPr>
          <w:lang w:eastAsia="en-US"/>
        </w:rPr>
        <w:t xml:space="preserve"> </w:t>
      </w:r>
      <w:proofErr w:type="spellStart"/>
      <w:r w:rsidR="00826E54" w:rsidRPr="00826E54">
        <w:rPr>
          <w:lang w:eastAsia="en-US"/>
        </w:rPr>
        <w:t>typically</w:t>
      </w:r>
      <w:proofErr w:type="spellEnd"/>
      <w:r w:rsidR="00826E54" w:rsidRPr="00826E54">
        <w:rPr>
          <w:lang w:eastAsia="en-US"/>
        </w:rPr>
        <w:t xml:space="preserve"> </w:t>
      </w:r>
      <w:proofErr w:type="spellStart"/>
      <w:r w:rsidR="00826E54" w:rsidRPr="00826E54">
        <w:rPr>
          <w:lang w:eastAsia="en-US"/>
        </w:rPr>
        <w:t>involves</w:t>
      </w:r>
      <w:proofErr w:type="spellEnd"/>
      <w:r w:rsidR="00826E54">
        <w:rPr>
          <w:lang w:eastAsia="en-US"/>
        </w:rPr>
        <w:t xml:space="preserve"> </w:t>
      </w:r>
      <w:r w:rsidRPr="00D723FF">
        <w:rPr>
          <w:lang w:val="en-US" w:eastAsia="en-US"/>
        </w:rPr>
        <w:t xml:space="preserve">operates through indirect means, such as the destruction of resources essential for survival. While such acts may not result in immediate death, they may nonetheless fall within the scope of Article II(c) where they are intended to destroy a protected group. </w:t>
      </w:r>
      <w:r w:rsidR="00826E54">
        <w:rPr>
          <w:lang w:val="en-US" w:eastAsia="en-US"/>
        </w:rPr>
        <w:t>However</w:t>
      </w:r>
      <w:r w:rsidRPr="00D723FF">
        <w:rPr>
          <w:lang w:val="en-US" w:eastAsia="en-US"/>
        </w:rPr>
        <w:t xml:space="preserve">, where environmental harm is incidental, temporary, or not directed at a specific group, </w:t>
      </w:r>
      <w:proofErr w:type="spellStart"/>
      <w:r w:rsidR="00826E54" w:rsidRPr="00826E54">
        <w:rPr>
          <w:lang w:eastAsia="en-US"/>
        </w:rPr>
        <w:t>it</w:t>
      </w:r>
      <w:proofErr w:type="spellEnd"/>
      <w:r w:rsidR="00826E54" w:rsidRPr="00826E54">
        <w:rPr>
          <w:lang w:eastAsia="en-US"/>
        </w:rPr>
        <w:t xml:space="preserve"> </w:t>
      </w:r>
      <w:proofErr w:type="spellStart"/>
      <w:r w:rsidR="00826E54" w:rsidRPr="00826E54">
        <w:rPr>
          <w:lang w:eastAsia="en-US"/>
        </w:rPr>
        <w:t>will</w:t>
      </w:r>
      <w:proofErr w:type="spellEnd"/>
      <w:r w:rsidR="00826E54" w:rsidRPr="00826E54">
        <w:rPr>
          <w:lang w:eastAsia="en-US"/>
        </w:rPr>
        <w:t xml:space="preserve"> </w:t>
      </w:r>
      <w:proofErr w:type="spellStart"/>
      <w:r w:rsidR="00826E54" w:rsidRPr="00826E54">
        <w:rPr>
          <w:lang w:eastAsia="en-US"/>
        </w:rPr>
        <w:t>generally</w:t>
      </w:r>
      <w:proofErr w:type="spellEnd"/>
      <w:r w:rsidR="00826E54" w:rsidRPr="00826E54">
        <w:rPr>
          <w:lang w:eastAsia="en-US"/>
        </w:rPr>
        <w:t xml:space="preserve"> not </w:t>
      </w:r>
      <w:proofErr w:type="spellStart"/>
      <w:r w:rsidR="00826E54" w:rsidRPr="00826E54">
        <w:rPr>
          <w:lang w:eastAsia="en-US"/>
        </w:rPr>
        <w:t>qualify</w:t>
      </w:r>
      <w:proofErr w:type="spellEnd"/>
      <w:r w:rsidR="00826E54" w:rsidRPr="00826E54">
        <w:rPr>
          <w:lang w:eastAsia="en-US"/>
        </w:rPr>
        <w:t xml:space="preserve"> as </w:t>
      </w:r>
      <w:proofErr w:type="spellStart"/>
      <w:r w:rsidR="00826E54" w:rsidRPr="00826E54">
        <w:rPr>
          <w:lang w:eastAsia="en-US"/>
        </w:rPr>
        <w:t>genocide</w:t>
      </w:r>
      <w:proofErr w:type="spellEnd"/>
      <w:r w:rsidR="00826E54" w:rsidRPr="00826E54">
        <w:rPr>
          <w:lang w:eastAsia="en-US"/>
        </w:rPr>
        <w:t xml:space="preserve"> </w:t>
      </w:r>
      <w:proofErr w:type="spellStart"/>
      <w:r w:rsidR="00826E54" w:rsidRPr="00826E54">
        <w:rPr>
          <w:lang w:eastAsia="en-US"/>
        </w:rPr>
        <w:t>within</w:t>
      </w:r>
      <w:proofErr w:type="spellEnd"/>
      <w:r w:rsidR="00826E54" w:rsidRPr="00826E54">
        <w:rPr>
          <w:lang w:eastAsia="en-US"/>
        </w:rPr>
        <w:t xml:space="preserve"> the </w:t>
      </w:r>
      <w:proofErr w:type="spellStart"/>
      <w:r w:rsidR="00826E54" w:rsidRPr="00826E54">
        <w:rPr>
          <w:lang w:eastAsia="en-US"/>
        </w:rPr>
        <w:t>meaning</w:t>
      </w:r>
      <w:proofErr w:type="spellEnd"/>
      <w:r w:rsidR="00826E54" w:rsidRPr="00826E54">
        <w:rPr>
          <w:lang w:eastAsia="en-US"/>
        </w:rPr>
        <w:t xml:space="preserve"> of Article II(c) (</w:t>
      </w:r>
      <w:proofErr w:type="spellStart"/>
      <w:r w:rsidR="00826E54" w:rsidRPr="00826E54">
        <w:rPr>
          <w:lang w:eastAsia="en-US"/>
        </w:rPr>
        <w:t>see</w:t>
      </w:r>
      <w:proofErr w:type="spellEnd"/>
      <w:r w:rsidR="00826E54" w:rsidRPr="00826E54">
        <w:rPr>
          <w:lang w:eastAsia="en-US"/>
        </w:rPr>
        <w:t xml:space="preserve"> </w:t>
      </w:r>
      <w:proofErr w:type="gramStart"/>
      <w:r w:rsidR="00826E54" w:rsidRPr="00826E54">
        <w:rPr>
          <w:i/>
          <w:iCs/>
          <w:lang w:eastAsia="en-US"/>
        </w:rPr>
        <w:t xml:space="preserve">supra </w:t>
      </w:r>
      <w:proofErr w:type="spellStart"/>
      <w:r w:rsidR="00826E54" w:rsidRPr="00826E54">
        <w:rPr>
          <w:lang w:eastAsia="en-US"/>
        </w:rPr>
        <w:t>Chapter</w:t>
      </w:r>
      <w:proofErr w:type="spellEnd"/>
      <w:proofErr w:type="gramEnd"/>
      <w:r w:rsidR="00826E54" w:rsidRPr="00826E54">
        <w:rPr>
          <w:lang w:eastAsia="en-US"/>
        </w:rPr>
        <w:t xml:space="preserve"> 1)</w:t>
      </w:r>
      <w:r w:rsidR="00826E54">
        <w:rPr>
          <w:lang w:eastAsia="en-US"/>
        </w:rPr>
        <w:t>.</w:t>
      </w:r>
      <w:r w:rsidR="00826E54">
        <w:rPr>
          <w:lang w:eastAsia="en-US"/>
        </w:rPr>
        <w:tab/>
      </w:r>
      <w:r w:rsidR="00826E54">
        <w:rPr>
          <w:lang w:eastAsia="en-US"/>
        </w:rPr>
        <w:br/>
      </w:r>
    </w:p>
    <w:p w14:paraId="5DC66377" w14:textId="1DE42FED" w:rsidR="00F72A30" w:rsidRPr="00D723FF" w:rsidRDefault="00F55957" w:rsidP="00D723FF">
      <w:pPr>
        <w:pStyle w:val="Kop2"/>
        <w:spacing w:line="360" w:lineRule="auto"/>
        <w:rPr>
          <w:rFonts w:ascii="Times New Roman" w:hAnsi="Times New Roman" w:cs="Times New Roman"/>
          <w:lang w:val="en-US" w:eastAsia="en-US"/>
        </w:rPr>
      </w:pPr>
      <w:bookmarkStart w:id="25" w:name="_Toc230376200"/>
      <w:r w:rsidRPr="00D723FF">
        <w:rPr>
          <w:rFonts w:ascii="Times New Roman" w:hAnsi="Times New Roman" w:cs="Times New Roman"/>
          <w:lang w:val="en-US"/>
        </w:rPr>
        <w:t>3</w:t>
      </w:r>
      <w:r w:rsidR="00C443C5" w:rsidRPr="00D723FF">
        <w:rPr>
          <w:rFonts w:ascii="Times New Roman" w:hAnsi="Times New Roman" w:cs="Times New Roman"/>
          <w:lang w:val="en-US"/>
        </w:rPr>
        <w:t>.</w:t>
      </w:r>
      <w:r w:rsidR="001D4027" w:rsidRPr="00D723FF">
        <w:rPr>
          <w:rFonts w:ascii="Times New Roman" w:hAnsi="Times New Roman" w:cs="Times New Roman"/>
          <w:lang w:val="en-US"/>
        </w:rPr>
        <w:t>2</w:t>
      </w:r>
      <w:r w:rsidR="00C443C5" w:rsidRPr="00D723FF">
        <w:rPr>
          <w:rFonts w:ascii="Times New Roman" w:hAnsi="Times New Roman" w:cs="Times New Roman"/>
          <w:lang w:val="en-US"/>
        </w:rPr>
        <w:t xml:space="preserve">. The </w:t>
      </w:r>
      <w:r w:rsidR="008802E4" w:rsidRPr="00D723FF">
        <w:rPr>
          <w:rFonts w:ascii="Times New Roman" w:hAnsi="Times New Roman" w:cs="Times New Roman"/>
          <w:lang w:val="en-US"/>
        </w:rPr>
        <w:t>interpretation</w:t>
      </w:r>
      <w:r w:rsidR="00C443C5" w:rsidRPr="00D723FF">
        <w:rPr>
          <w:rFonts w:ascii="Times New Roman" w:hAnsi="Times New Roman" w:cs="Times New Roman"/>
          <w:lang w:val="en-US"/>
        </w:rPr>
        <w:t xml:space="preserve"> of Article II(c) of the Genocide Convention</w:t>
      </w:r>
      <w:bookmarkEnd w:id="25"/>
    </w:p>
    <w:p w14:paraId="265F71F9" w14:textId="4B685D87" w:rsidR="00FF6E37" w:rsidRPr="00D723FF" w:rsidRDefault="00B84D88" w:rsidP="00D723FF">
      <w:pPr>
        <w:spacing w:line="360" w:lineRule="auto"/>
        <w:jc w:val="both"/>
        <w:rPr>
          <w:lang w:val="en-US"/>
        </w:rPr>
      </w:pPr>
      <w:r w:rsidRPr="00D723FF">
        <w:rPr>
          <w:lang w:val="en-US"/>
        </w:rPr>
        <w:t xml:space="preserve">In </w:t>
      </w:r>
      <w:r w:rsidR="00297EDB" w:rsidRPr="00D723FF">
        <w:rPr>
          <w:lang w:val="en-US"/>
        </w:rPr>
        <w:t>i</w:t>
      </w:r>
      <w:r w:rsidRPr="00D723FF">
        <w:rPr>
          <w:lang w:val="en-US"/>
        </w:rPr>
        <w:t xml:space="preserve">nternational </w:t>
      </w:r>
      <w:r w:rsidR="00297EDB" w:rsidRPr="00D723FF">
        <w:rPr>
          <w:lang w:val="en-US"/>
        </w:rPr>
        <w:t>l</w:t>
      </w:r>
      <w:r w:rsidRPr="00D723FF">
        <w:rPr>
          <w:lang w:val="en-US"/>
        </w:rPr>
        <w:t xml:space="preserve">aw, </w:t>
      </w:r>
      <w:r w:rsidR="008802E4" w:rsidRPr="00D723FF">
        <w:rPr>
          <w:lang w:val="en-US"/>
        </w:rPr>
        <w:t>interpretation</w:t>
      </w:r>
      <w:r w:rsidRPr="00D723FF">
        <w:rPr>
          <w:lang w:val="en-US"/>
        </w:rPr>
        <w:t xml:space="preserve"> is governed by Article</w:t>
      </w:r>
      <w:r w:rsidR="008F1E30" w:rsidRPr="00D723FF">
        <w:rPr>
          <w:lang w:val="en-US"/>
        </w:rPr>
        <w:t>s</w:t>
      </w:r>
      <w:r w:rsidRPr="00D723FF">
        <w:rPr>
          <w:lang w:val="en-US"/>
        </w:rPr>
        <w:t xml:space="preserve"> 31</w:t>
      </w:r>
      <w:r w:rsidR="008F1E30" w:rsidRPr="00D723FF">
        <w:rPr>
          <w:lang w:val="en-US"/>
        </w:rPr>
        <w:t xml:space="preserve"> and 32</w:t>
      </w:r>
      <w:r w:rsidRPr="00D723FF">
        <w:rPr>
          <w:lang w:val="en-US"/>
        </w:rPr>
        <w:t xml:space="preserve"> of the </w:t>
      </w:r>
      <w:r w:rsidR="000B1C35" w:rsidRPr="00D723FF">
        <w:rPr>
          <w:lang w:val="en-US"/>
        </w:rPr>
        <w:t>VCLT</w:t>
      </w:r>
      <w:r w:rsidRPr="00D723FF">
        <w:rPr>
          <w:lang w:val="en-US"/>
        </w:rPr>
        <w:t>.</w:t>
      </w:r>
      <w:r w:rsidRPr="00D723FF">
        <w:rPr>
          <w:rStyle w:val="Voetnootmarkering"/>
          <w:lang w:val="en-US"/>
        </w:rPr>
        <w:footnoteReference w:id="98"/>
      </w:r>
      <w:r w:rsidRPr="00D723FF">
        <w:rPr>
          <w:lang w:val="en-US"/>
        </w:rPr>
        <w:t xml:space="preserve"> </w:t>
      </w:r>
      <w:r w:rsidR="000B1C35" w:rsidRPr="00D723FF">
        <w:rPr>
          <w:lang w:val="en-US"/>
        </w:rPr>
        <w:t xml:space="preserve">The first sentence of </w:t>
      </w:r>
      <w:r w:rsidR="0022433E" w:rsidRPr="00D723FF">
        <w:rPr>
          <w:lang w:val="en-US"/>
        </w:rPr>
        <w:t xml:space="preserve">Article 31 lays down the general rule of interpretation and starts </w:t>
      </w:r>
      <w:r w:rsidR="00B05B65" w:rsidRPr="00D723FF">
        <w:rPr>
          <w:lang w:val="en-US"/>
        </w:rPr>
        <w:t xml:space="preserve">as follows: </w:t>
      </w:r>
      <w:r w:rsidR="003E5D0F" w:rsidRPr="00D723FF">
        <w:rPr>
          <w:lang w:val="en-US"/>
        </w:rPr>
        <w:t>“</w:t>
      </w:r>
      <w:r w:rsidR="003E5D0F" w:rsidRPr="00D723FF">
        <w:rPr>
          <w:i/>
          <w:iCs/>
          <w:lang w:val="en-US"/>
        </w:rPr>
        <w:t xml:space="preserve">1. A treaty shall be interpreted in good faith in accordance with the ordinary meaning to be given to </w:t>
      </w:r>
      <w:r w:rsidR="003E5D0F" w:rsidRPr="00D723FF">
        <w:rPr>
          <w:i/>
          <w:iCs/>
          <w:lang w:val="en-US"/>
        </w:rPr>
        <w:lastRenderedPageBreak/>
        <w:t>the terms of the treaty in their context and in the light of its object and purpose.</w:t>
      </w:r>
      <w:r w:rsidR="003E5D0F" w:rsidRPr="00D723FF">
        <w:rPr>
          <w:lang w:val="en-US"/>
        </w:rPr>
        <w:t>”</w:t>
      </w:r>
      <w:r w:rsidR="00C66928" w:rsidRPr="00D723FF">
        <w:rPr>
          <w:rStyle w:val="Voetnootmarkering"/>
          <w:lang w:val="en-US"/>
        </w:rPr>
        <w:footnoteReference w:id="99"/>
      </w:r>
      <w:r w:rsidR="008802E4" w:rsidRPr="00D723FF">
        <w:rPr>
          <w:lang w:val="en-US"/>
        </w:rPr>
        <w:t xml:space="preserve"> </w:t>
      </w:r>
      <w:r w:rsidR="00B05B65" w:rsidRPr="00D723FF">
        <w:rPr>
          <w:lang w:val="en-US"/>
        </w:rPr>
        <w:t xml:space="preserve">This rule </w:t>
      </w:r>
      <w:r w:rsidR="00F2119E" w:rsidRPr="00D723FF">
        <w:rPr>
          <w:lang w:val="en-US"/>
        </w:rPr>
        <w:t>demonstrate</w:t>
      </w:r>
      <w:r w:rsidR="007D60EC" w:rsidRPr="00D723FF">
        <w:rPr>
          <w:lang w:val="en-US"/>
        </w:rPr>
        <w:t>s</w:t>
      </w:r>
      <w:r w:rsidR="00B05B65" w:rsidRPr="00D723FF">
        <w:rPr>
          <w:lang w:val="en-US"/>
        </w:rPr>
        <w:t xml:space="preserve"> that </w:t>
      </w:r>
      <w:r w:rsidR="007D60EC" w:rsidRPr="00D723FF">
        <w:rPr>
          <w:lang w:val="en-US"/>
        </w:rPr>
        <w:t xml:space="preserve">a </w:t>
      </w:r>
      <w:r w:rsidR="00B05B65" w:rsidRPr="00D723FF">
        <w:rPr>
          <w:lang w:val="en-US"/>
        </w:rPr>
        <w:t>treaty interpretation is not based on one single element.</w:t>
      </w:r>
      <w:r w:rsidR="00DE3927" w:rsidRPr="00D723FF">
        <w:rPr>
          <w:lang w:val="en-US"/>
        </w:rPr>
        <w:t xml:space="preserve"> The interpretative approach reflected in Article 31 VCLT is generally regarded as reflective of customary international law.</w:t>
      </w:r>
      <w:r w:rsidR="00DE3927" w:rsidRPr="00D723FF">
        <w:rPr>
          <w:rStyle w:val="Voetnootmarkering"/>
          <w:lang w:val="en-US"/>
        </w:rPr>
        <w:footnoteReference w:id="100"/>
      </w:r>
      <w:r w:rsidR="00AA0538" w:rsidRPr="00D723FF">
        <w:rPr>
          <w:lang w:val="en-US"/>
        </w:rPr>
        <w:t xml:space="preserve"> </w:t>
      </w:r>
      <w:r w:rsidR="00C25E18" w:rsidRPr="00D723FF">
        <w:rPr>
          <w:lang w:val="en-US"/>
        </w:rPr>
        <w:t xml:space="preserve">Article 31 </w:t>
      </w:r>
      <w:r w:rsidR="00DE3927" w:rsidRPr="00D723FF">
        <w:rPr>
          <w:lang w:val="en-US"/>
        </w:rPr>
        <w:t>(</w:t>
      </w:r>
      <w:proofErr w:type="gramStart"/>
      <w:r w:rsidR="00DE3927" w:rsidRPr="00D723FF">
        <w:rPr>
          <w:lang w:val="en-US"/>
        </w:rPr>
        <w:t>1)</w:t>
      </w:r>
      <w:r w:rsidR="00C25E18" w:rsidRPr="00D723FF">
        <w:rPr>
          <w:lang w:val="en-US"/>
        </w:rPr>
        <w:t>VCLT</w:t>
      </w:r>
      <w:proofErr w:type="gramEnd"/>
      <w:r w:rsidR="00AA0538" w:rsidRPr="00D723FF">
        <w:rPr>
          <w:lang w:val="en-US"/>
        </w:rPr>
        <w:t xml:space="preserve"> </w:t>
      </w:r>
      <w:r w:rsidR="00F2119E" w:rsidRPr="00D723FF">
        <w:rPr>
          <w:lang w:val="en-US"/>
        </w:rPr>
        <w:t>combines</w:t>
      </w:r>
      <w:r w:rsidR="00F2119E" w:rsidRPr="00D723FF">
        <w:rPr>
          <w:rStyle w:val="Voetnootmarkering"/>
          <w:lang w:val="en-US"/>
        </w:rPr>
        <w:footnoteReference w:id="101"/>
      </w:r>
      <w:r w:rsidR="00AA0538" w:rsidRPr="00D723FF">
        <w:rPr>
          <w:lang w:val="en-US"/>
        </w:rPr>
        <w:t xml:space="preserve"> three </w:t>
      </w:r>
      <w:r w:rsidR="00C25E18" w:rsidRPr="00D723FF">
        <w:rPr>
          <w:lang w:val="en-US"/>
        </w:rPr>
        <w:t>kinds of interpretation in one general rule</w:t>
      </w:r>
      <w:r w:rsidR="00AA0538" w:rsidRPr="00D723FF">
        <w:rPr>
          <w:lang w:val="en-US"/>
        </w:rPr>
        <w:t>: (a) text</w:t>
      </w:r>
      <w:r w:rsidR="00C25E18" w:rsidRPr="00D723FF">
        <w:rPr>
          <w:lang w:val="en-US"/>
        </w:rPr>
        <w:t>ual</w:t>
      </w:r>
      <w:r w:rsidR="00AA0538" w:rsidRPr="00D723FF">
        <w:rPr>
          <w:lang w:val="en-US"/>
        </w:rPr>
        <w:t>, (b) context</w:t>
      </w:r>
      <w:r w:rsidR="00C25E18" w:rsidRPr="00D723FF">
        <w:rPr>
          <w:lang w:val="en-US"/>
        </w:rPr>
        <w:t>ual</w:t>
      </w:r>
      <w:r w:rsidR="00AA0538" w:rsidRPr="00D723FF">
        <w:rPr>
          <w:lang w:val="en-US"/>
        </w:rPr>
        <w:t xml:space="preserve"> and (c) </w:t>
      </w:r>
      <w:r w:rsidR="00C25E18" w:rsidRPr="00D723FF">
        <w:rPr>
          <w:lang w:val="en-US"/>
        </w:rPr>
        <w:t>teleological</w:t>
      </w:r>
      <w:r w:rsidR="00F2119E" w:rsidRPr="00D723FF">
        <w:rPr>
          <w:lang w:val="en-US"/>
        </w:rPr>
        <w:t xml:space="preserve">. </w:t>
      </w:r>
    </w:p>
    <w:p w14:paraId="0903D191" w14:textId="05909826" w:rsidR="00A8172E" w:rsidRPr="00D723FF" w:rsidRDefault="00F2119E" w:rsidP="00731554">
      <w:pPr>
        <w:spacing w:after="0" w:line="360" w:lineRule="auto"/>
        <w:jc w:val="both"/>
        <w:rPr>
          <w:lang w:val="en-US"/>
        </w:rPr>
      </w:pPr>
      <w:r w:rsidRPr="00D723FF">
        <w:rPr>
          <w:lang w:val="en-US"/>
        </w:rPr>
        <w:br/>
      </w:r>
      <w:r w:rsidR="00E52B40" w:rsidRPr="00D723FF">
        <w:rPr>
          <w:lang w:val="en-US"/>
        </w:rPr>
        <w:t>First, textual interpretation focuses on the ordinary meaning of the terms used in the treaty</w:t>
      </w:r>
      <w:r w:rsidR="0022433E" w:rsidRPr="00D723FF">
        <w:rPr>
          <w:lang w:val="en-US"/>
        </w:rPr>
        <w:t>.</w:t>
      </w:r>
      <w:r w:rsidR="008258A1" w:rsidRPr="00D723FF">
        <w:rPr>
          <w:rStyle w:val="Voetnootmarkering"/>
          <w:lang w:val="en-US"/>
        </w:rPr>
        <w:footnoteReference w:id="102"/>
      </w:r>
      <w:r w:rsidR="0022433E" w:rsidRPr="00D723FF">
        <w:rPr>
          <w:lang w:val="en-US"/>
        </w:rPr>
        <w:t xml:space="preserve"> </w:t>
      </w:r>
      <w:r w:rsidR="00486F6C" w:rsidRPr="00D723FF">
        <w:rPr>
          <w:lang w:val="en-US"/>
        </w:rPr>
        <w:t xml:space="preserve">In </w:t>
      </w:r>
      <w:r w:rsidR="00486F6C" w:rsidRPr="00D723FF">
        <w:rPr>
          <w:i/>
          <w:iCs/>
          <w:lang w:val="en-US"/>
        </w:rPr>
        <w:t>T</w:t>
      </w:r>
      <w:r w:rsidR="0065526E" w:rsidRPr="00D723FF">
        <w:rPr>
          <w:i/>
          <w:iCs/>
          <w:lang w:val="en-US"/>
        </w:rPr>
        <w:t>he Competence of the General Assembly for the Admission of a State to the United Nations Case (</w:t>
      </w:r>
      <w:r w:rsidR="004C1DCF" w:rsidRPr="00D723FF">
        <w:rPr>
          <w:i/>
          <w:iCs/>
          <w:lang w:val="en-US"/>
        </w:rPr>
        <w:t>A</w:t>
      </w:r>
      <w:r w:rsidR="0065526E" w:rsidRPr="00D723FF">
        <w:rPr>
          <w:i/>
          <w:iCs/>
          <w:lang w:val="en-US"/>
        </w:rPr>
        <w:t xml:space="preserve">dvisory Opinion) </w:t>
      </w:r>
      <w:r w:rsidRPr="00D723FF">
        <w:rPr>
          <w:lang w:val="en-US"/>
        </w:rPr>
        <w:t xml:space="preserve">the ICJ stated </w:t>
      </w:r>
      <w:r w:rsidR="0065526E" w:rsidRPr="00D723FF">
        <w:rPr>
          <w:lang w:val="en-US"/>
        </w:rPr>
        <w:t xml:space="preserve">that the first duty of a tribunal </w:t>
      </w:r>
      <w:r w:rsidRPr="00D723FF">
        <w:rPr>
          <w:lang w:val="en-US"/>
        </w:rPr>
        <w:t xml:space="preserve">is </w:t>
      </w:r>
      <w:r w:rsidR="0065526E" w:rsidRPr="00D723FF">
        <w:rPr>
          <w:lang w:val="en-US"/>
        </w:rPr>
        <w:t>to look at the wording of the treaty.</w:t>
      </w:r>
      <w:r w:rsidR="0065526E" w:rsidRPr="00D723FF">
        <w:rPr>
          <w:rStyle w:val="Voetnootmarkering"/>
          <w:lang w:val="en-US"/>
        </w:rPr>
        <w:footnoteReference w:id="103"/>
      </w:r>
      <w:r w:rsidR="0065526E" w:rsidRPr="00D723FF">
        <w:rPr>
          <w:lang w:val="en-US"/>
        </w:rPr>
        <w:t xml:space="preserve"> </w:t>
      </w:r>
      <w:r w:rsidR="007D60EC" w:rsidRPr="00D723FF">
        <w:rPr>
          <w:lang w:val="en-US"/>
        </w:rPr>
        <w:t>Subsequently</w:t>
      </w:r>
      <w:r w:rsidR="0065526E" w:rsidRPr="00D723FF">
        <w:rPr>
          <w:lang w:val="en-US"/>
        </w:rPr>
        <w:t>,</w:t>
      </w:r>
      <w:r w:rsidR="0022433E" w:rsidRPr="00D723FF">
        <w:rPr>
          <w:lang w:val="en-US"/>
        </w:rPr>
        <w:t xml:space="preserve"> </w:t>
      </w:r>
      <w:r w:rsidRPr="00D723FF">
        <w:rPr>
          <w:lang w:val="en-US"/>
        </w:rPr>
        <w:t>contextual</w:t>
      </w:r>
      <w:r w:rsidR="0022433E" w:rsidRPr="00D723FF">
        <w:rPr>
          <w:lang w:val="en-US"/>
        </w:rPr>
        <w:t xml:space="preserve"> interpretation considers the provision within its broader context and structure.</w:t>
      </w:r>
      <w:r w:rsidR="001D39F9" w:rsidRPr="00D723FF">
        <w:rPr>
          <w:rStyle w:val="Voetnootmarkering"/>
          <w:lang w:val="en-US"/>
        </w:rPr>
        <w:footnoteReference w:id="104"/>
      </w:r>
      <w:r w:rsidR="00191225" w:rsidRPr="00D723FF">
        <w:rPr>
          <w:lang w:val="en-US"/>
        </w:rPr>
        <w:t xml:space="preserve"> This means that the context of the whole text, including its preamb</w:t>
      </w:r>
      <w:r w:rsidR="002B2746" w:rsidRPr="00D723FF">
        <w:rPr>
          <w:lang w:val="en-US"/>
        </w:rPr>
        <w:t>le</w:t>
      </w:r>
      <w:r w:rsidR="00191225" w:rsidRPr="00D723FF">
        <w:rPr>
          <w:lang w:val="en-US"/>
        </w:rPr>
        <w:t xml:space="preserve">, annexes, and any agreement </w:t>
      </w:r>
      <w:r w:rsidR="00626CF8">
        <w:rPr>
          <w:lang w:val="en-US"/>
        </w:rPr>
        <w:t>concerning</w:t>
      </w:r>
      <w:r w:rsidR="00191225" w:rsidRPr="00D723FF">
        <w:rPr>
          <w:lang w:val="en-US"/>
        </w:rPr>
        <w:t xml:space="preserve"> th</w:t>
      </w:r>
      <w:r w:rsidR="007D60EC" w:rsidRPr="00D723FF">
        <w:rPr>
          <w:lang w:val="en-US"/>
        </w:rPr>
        <w:t>at</w:t>
      </w:r>
      <w:r w:rsidR="00191225" w:rsidRPr="00D723FF">
        <w:rPr>
          <w:lang w:val="en-US"/>
        </w:rPr>
        <w:t xml:space="preserve"> treaty.</w:t>
      </w:r>
      <w:r w:rsidR="00191225" w:rsidRPr="00D723FF">
        <w:rPr>
          <w:rStyle w:val="Voetnootmarkering"/>
          <w:lang w:val="en-US"/>
        </w:rPr>
        <w:footnoteReference w:id="105"/>
      </w:r>
      <w:r w:rsidR="0022433E" w:rsidRPr="00D723FF">
        <w:rPr>
          <w:lang w:val="en-US"/>
        </w:rPr>
        <w:t xml:space="preserve"> </w:t>
      </w:r>
      <w:r w:rsidR="00486F6C" w:rsidRPr="00D723FF">
        <w:rPr>
          <w:lang w:val="en-US"/>
        </w:rPr>
        <w:t>Then t</w:t>
      </w:r>
      <w:r w:rsidR="0022433E" w:rsidRPr="00D723FF">
        <w:rPr>
          <w:lang w:val="en-US"/>
        </w:rPr>
        <w:t>eleological interpretation</w:t>
      </w:r>
      <w:r w:rsidR="00191225" w:rsidRPr="00D723FF">
        <w:rPr>
          <w:lang w:val="en-US"/>
        </w:rPr>
        <w:t>, by contrast,</w:t>
      </w:r>
      <w:r w:rsidR="0022433E" w:rsidRPr="00D723FF">
        <w:rPr>
          <w:lang w:val="en-US"/>
        </w:rPr>
        <w:t xml:space="preserve"> takes into account the object and purpose of the treaty.</w:t>
      </w:r>
      <w:r w:rsidR="00191225" w:rsidRPr="00D723FF">
        <w:rPr>
          <w:rStyle w:val="Voetnootmarkering"/>
          <w:lang w:val="en-US"/>
        </w:rPr>
        <w:footnoteReference w:id="106"/>
      </w:r>
      <w:r w:rsidR="0022433E" w:rsidRPr="00D723FF">
        <w:rPr>
          <w:lang w:val="en-US"/>
        </w:rPr>
        <w:t xml:space="preserve"> </w:t>
      </w:r>
      <w:r w:rsidR="005941AD" w:rsidRPr="00D723FF">
        <w:rPr>
          <w:lang w:val="en-US"/>
        </w:rPr>
        <w:t xml:space="preserve">Here the interpretation facilitates the attainment of the objective and purpose of the treaty. </w:t>
      </w:r>
      <w:r w:rsidR="00240617">
        <w:rPr>
          <w:lang w:val="en-US"/>
        </w:rPr>
        <w:tab/>
      </w:r>
      <w:r w:rsidR="00240617">
        <w:rPr>
          <w:lang w:val="en-US"/>
        </w:rPr>
        <w:br/>
      </w:r>
      <w:r w:rsidR="005941AD" w:rsidRPr="00D723FF">
        <w:rPr>
          <w:lang w:val="en-US"/>
        </w:rPr>
        <w:lastRenderedPageBreak/>
        <w:t>The last method is the h</w:t>
      </w:r>
      <w:r w:rsidR="0022433E" w:rsidRPr="00D723FF">
        <w:rPr>
          <w:lang w:val="en-US"/>
        </w:rPr>
        <w:t>istorical interpretation</w:t>
      </w:r>
      <w:r w:rsidR="005941AD" w:rsidRPr="00D723FF">
        <w:rPr>
          <w:lang w:val="en-US"/>
        </w:rPr>
        <w:t>.</w:t>
      </w:r>
      <w:r w:rsidR="005941AD" w:rsidRPr="00D723FF">
        <w:rPr>
          <w:rStyle w:val="Voetnootmarkering"/>
          <w:lang w:val="en-US"/>
        </w:rPr>
        <w:footnoteReference w:id="107"/>
      </w:r>
      <w:r w:rsidR="0046409B" w:rsidRPr="00D723FF">
        <w:rPr>
          <w:lang w:val="en-US"/>
        </w:rPr>
        <w:tab/>
      </w:r>
      <w:r w:rsidR="0046409B" w:rsidRPr="00D723FF">
        <w:rPr>
          <w:lang w:val="en-US"/>
        </w:rPr>
        <w:br/>
      </w:r>
      <w:r w:rsidR="0046409B" w:rsidRPr="00D723FF">
        <w:rPr>
          <w:lang w:val="en-US"/>
        </w:rPr>
        <w:br/>
      </w:r>
      <w:r w:rsidR="00A8172E" w:rsidRPr="00D723FF">
        <w:rPr>
          <w:lang w:val="en-US"/>
        </w:rPr>
        <w:t xml:space="preserve">In addition, Article 31(2) and (3) further expand the notion of “context” by including related agreements, subsequent practice, and relevant rules of international law. </w:t>
      </w:r>
      <w:proofErr w:type="gramStart"/>
      <w:r w:rsidR="00A8172E" w:rsidRPr="00D723FF">
        <w:rPr>
          <w:lang w:val="en-US"/>
        </w:rPr>
        <w:t>In particular, Article</w:t>
      </w:r>
      <w:proofErr w:type="gramEnd"/>
      <w:r w:rsidR="00A8172E" w:rsidRPr="00D723FF">
        <w:rPr>
          <w:lang w:val="en-US"/>
        </w:rPr>
        <w:t xml:space="preserve"> 31(3) </w:t>
      </w:r>
      <w:proofErr w:type="spellStart"/>
      <w:r w:rsidR="00A8172E" w:rsidRPr="00D723FF">
        <w:rPr>
          <w:lang w:val="en-US"/>
        </w:rPr>
        <w:t>recognises</w:t>
      </w:r>
      <w:proofErr w:type="spellEnd"/>
      <w:r w:rsidR="00A8172E" w:rsidRPr="00D723FF">
        <w:rPr>
          <w:lang w:val="en-US"/>
        </w:rPr>
        <w:t xml:space="preserve"> that treaty interpretation may be informed by later legal developments and international jurisprudence.</w:t>
      </w:r>
      <w:r w:rsidR="00FF6E37" w:rsidRPr="00D723FF">
        <w:rPr>
          <w:lang w:val="en-US"/>
        </w:rPr>
        <w:t xml:space="preserve"> Article 32 VCLT further allows recourse to supplementary means of interpretation, in particular the preparatory work (</w:t>
      </w:r>
      <w:r w:rsidR="00FF6E37" w:rsidRPr="00D723FF">
        <w:rPr>
          <w:i/>
          <w:iCs/>
          <w:lang w:val="en-US"/>
        </w:rPr>
        <w:t xml:space="preserve">travaux </w:t>
      </w:r>
      <w:proofErr w:type="spellStart"/>
      <w:r w:rsidR="00FF6E37" w:rsidRPr="00D723FF">
        <w:rPr>
          <w:i/>
          <w:iCs/>
          <w:lang w:val="en-US"/>
        </w:rPr>
        <w:t>préparatoires</w:t>
      </w:r>
      <w:proofErr w:type="spellEnd"/>
      <w:r w:rsidR="00FF6E37" w:rsidRPr="00D723FF">
        <w:rPr>
          <w:lang w:val="en-US"/>
        </w:rPr>
        <w:t>) of the treaty and the circumstances of its conclusion.</w:t>
      </w:r>
      <w:r w:rsidR="00FF6E37" w:rsidRPr="00D723FF">
        <w:rPr>
          <w:rStyle w:val="Voetnootmarkering"/>
          <w:lang w:val="en-US"/>
        </w:rPr>
        <w:footnoteReference w:id="108"/>
      </w:r>
      <w:r w:rsidR="00FF6E37" w:rsidRPr="00D723FF">
        <w:rPr>
          <w:lang w:val="en-US"/>
        </w:rPr>
        <w:tab/>
      </w:r>
      <w:r w:rsidR="00FF6E37" w:rsidRPr="00D723FF">
        <w:rPr>
          <w:lang w:val="en-US"/>
        </w:rPr>
        <w:br/>
      </w:r>
    </w:p>
    <w:p w14:paraId="3D3163DC" w14:textId="6A0E0E61" w:rsidR="00F72A30" w:rsidRPr="00D723FF" w:rsidRDefault="0046409B" w:rsidP="00D723FF">
      <w:pPr>
        <w:spacing w:line="360" w:lineRule="auto"/>
        <w:jc w:val="both"/>
        <w:rPr>
          <w:lang w:val="en-US"/>
        </w:rPr>
      </w:pPr>
      <w:r w:rsidRPr="00D723FF">
        <w:rPr>
          <w:lang w:val="en-US"/>
        </w:rPr>
        <w:t>Although these methods differ in emphasis</w:t>
      </w:r>
      <w:r w:rsidR="007D60EC" w:rsidRPr="00D723FF">
        <w:rPr>
          <w:lang w:val="en-US"/>
        </w:rPr>
        <w:t xml:space="preserve"> </w:t>
      </w:r>
      <w:r w:rsidR="007D60EC" w:rsidRPr="00D723FF">
        <w:t xml:space="preserve">no strict </w:t>
      </w:r>
      <w:proofErr w:type="spellStart"/>
      <w:r w:rsidR="007D60EC" w:rsidRPr="00D723FF">
        <w:t>hierarchy</w:t>
      </w:r>
      <w:proofErr w:type="spellEnd"/>
      <w:r w:rsidR="007D60EC" w:rsidRPr="00D723FF">
        <w:t xml:space="preserve"> </w:t>
      </w:r>
      <w:proofErr w:type="spellStart"/>
      <w:r w:rsidR="007D60EC" w:rsidRPr="00D723FF">
        <w:t>is</w:t>
      </w:r>
      <w:proofErr w:type="spellEnd"/>
      <w:r w:rsidR="007D60EC" w:rsidRPr="00D723FF">
        <w:t xml:space="preserve"> </w:t>
      </w:r>
      <w:proofErr w:type="spellStart"/>
      <w:r w:rsidR="007D60EC" w:rsidRPr="00D723FF">
        <w:t>generally</w:t>
      </w:r>
      <w:proofErr w:type="spellEnd"/>
      <w:r w:rsidR="007D60EC" w:rsidRPr="00D723FF">
        <w:t xml:space="preserve"> </w:t>
      </w:r>
      <w:proofErr w:type="spellStart"/>
      <w:r w:rsidR="007D60EC" w:rsidRPr="00D723FF">
        <w:t>deemed</w:t>
      </w:r>
      <w:proofErr w:type="spellEnd"/>
      <w:r w:rsidR="007D60EC" w:rsidRPr="00D723FF">
        <w:t xml:space="preserve"> to </w:t>
      </w:r>
      <w:proofErr w:type="spellStart"/>
      <w:r w:rsidR="007D60EC" w:rsidRPr="00D723FF">
        <w:t>exist</w:t>
      </w:r>
      <w:proofErr w:type="spellEnd"/>
      <w:r w:rsidR="007D60EC" w:rsidRPr="00D723FF">
        <w:t xml:space="preserve"> </w:t>
      </w:r>
      <w:proofErr w:type="spellStart"/>
      <w:r w:rsidR="007D60EC" w:rsidRPr="00D723FF">
        <w:t>between</w:t>
      </w:r>
      <w:proofErr w:type="spellEnd"/>
      <w:r w:rsidR="007D60EC" w:rsidRPr="00D723FF">
        <w:t xml:space="preserve"> </w:t>
      </w:r>
      <w:proofErr w:type="spellStart"/>
      <w:r w:rsidR="007D60EC" w:rsidRPr="00D723FF">
        <w:t>these</w:t>
      </w:r>
      <w:proofErr w:type="spellEnd"/>
      <w:r w:rsidR="007D60EC" w:rsidRPr="00D723FF">
        <w:t xml:space="preserve"> sources</w:t>
      </w:r>
      <w:r w:rsidRPr="00D723FF">
        <w:rPr>
          <w:lang w:val="en-US"/>
        </w:rPr>
        <w:t>.</w:t>
      </w:r>
      <w:r w:rsidRPr="00D723FF">
        <w:rPr>
          <w:rStyle w:val="Voetnootmarkering"/>
          <w:lang w:val="en-US"/>
        </w:rPr>
        <w:footnoteReference w:id="109"/>
      </w:r>
      <w:r w:rsidRPr="00D723FF">
        <w:rPr>
          <w:lang w:val="en-US"/>
        </w:rPr>
        <w:t xml:space="preserve"> While international courts often begin with the ordinary meaning of the text, treaty interpretation under Article 31 VCLT is not understood as a mechanical or sequential exercise.</w:t>
      </w:r>
      <w:r w:rsidRPr="00D723FF">
        <w:rPr>
          <w:rStyle w:val="Voetnootmarkering"/>
          <w:lang w:val="en-US"/>
        </w:rPr>
        <w:footnoteReference w:id="110"/>
      </w:r>
      <w:r w:rsidRPr="00D723FF">
        <w:rPr>
          <w:lang w:val="en-US"/>
        </w:rPr>
        <w:t xml:space="preserve"> </w:t>
      </w:r>
      <w:r w:rsidR="007D60EC" w:rsidRPr="00D723FF">
        <w:rPr>
          <w:lang w:val="en-US"/>
        </w:rPr>
        <w:t>In contrast</w:t>
      </w:r>
      <w:r w:rsidRPr="00D723FF">
        <w:rPr>
          <w:lang w:val="en-US"/>
        </w:rPr>
        <w:t>, the different interpretative elements are applied together and may interact depending on the context of the case.</w:t>
      </w:r>
      <w:r w:rsidR="00EF48FB" w:rsidRPr="00D723FF">
        <w:rPr>
          <w:lang w:val="en-US"/>
        </w:rPr>
        <w:t xml:space="preserve"> Such as Article 3</w:t>
      </w:r>
      <w:r w:rsidR="001D4027" w:rsidRPr="00D723FF">
        <w:rPr>
          <w:lang w:val="en-US"/>
        </w:rPr>
        <w:t>1</w:t>
      </w:r>
      <w:r w:rsidR="00EF48FB" w:rsidRPr="00D723FF">
        <w:rPr>
          <w:lang w:val="en-US"/>
        </w:rPr>
        <w:t xml:space="preserve">, Article </w:t>
      </w:r>
      <w:r w:rsidR="00645679" w:rsidRPr="00D723FF">
        <w:rPr>
          <w:lang w:val="en-US"/>
        </w:rPr>
        <w:t>32</w:t>
      </w:r>
      <w:r w:rsidR="00B05B65" w:rsidRPr="00D723FF">
        <w:rPr>
          <w:lang w:val="en-US"/>
        </w:rPr>
        <w:t xml:space="preserve"> VCLT </w:t>
      </w:r>
      <w:r w:rsidR="00EF48FB" w:rsidRPr="00D723FF">
        <w:rPr>
          <w:lang w:val="en-US"/>
        </w:rPr>
        <w:t>is also</w:t>
      </w:r>
      <w:r w:rsidR="00B05B65" w:rsidRPr="00D723FF">
        <w:rPr>
          <w:lang w:val="en-US"/>
        </w:rPr>
        <w:t xml:space="preserve"> reflecting customary </w:t>
      </w:r>
      <w:r w:rsidR="00EF48FB" w:rsidRPr="00D723FF">
        <w:rPr>
          <w:lang w:val="en-US"/>
        </w:rPr>
        <w:t>i</w:t>
      </w:r>
      <w:r w:rsidR="00B05B65" w:rsidRPr="00D723FF">
        <w:rPr>
          <w:lang w:val="en-US"/>
        </w:rPr>
        <w:t xml:space="preserve">nternational </w:t>
      </w:r>
      <w:r w:rsidR="00DE3927" w:rsidRPr="00D723FF">
        <w:rPr>
          <w:lang w:val="en-US"/>
        </w:rPr>
        <w:t>l</w:t>
      </w:r>
      <w:r w:rsidR="00B05B65" w:rsidRPr="00D723FF">
        <w:rPr>
          <w:lang w:val="en-US"/>
        </w:rPr>
        <w:t>aw</w:t>
      </w:r>
      <w:r w:rsidR="00EF48FB" w:rsidRPr="00D723FF">
        <w:rPr>
          <w:lang w:val="en-US"/>
        </w:rPr>
        <w:t xml:space="preserve"> and </w:t>
      </w:r>
      <w:r w:rsidR="00486F6C" w:rsidRPr="00D723FF">
        <w:rPr>
          <w:lang w:val="en-US"/>
        </w:rPr>
        <w:t xml:space="preserve">has been </w:t>
      </w:r>
      <w:proofErr w:type="gramStart"/>
      <w:r w:rsidR="00486F6C" w:rsidRPr="00D723FF">
        <w:rPr>
          <w:lang w:val="en-US"/>
        </w:rPr>
        <w:t>invoked  by</w:t>
      </w:r>
      <w:proofErr w:type="gramEnd"/>
      <w:r w:rsidR="00486F6C" w:rsidRPr="00D723FF">
        <w:rPr>
          <w:lang w:val="en-US"/>
        </w:rPr>
        <w:t xml:space="preserve"> courts and tribunals</w:t>
      </w:r>
      <w:r w:rsidR="00B05B65" w:rsidRPr="00D723FF">
        <w:rPr>
          <w:lang w:val="en-US"/>
        </w:rPr>
        <w:t>.</w:t>
      </w:r>
      <w:r w:rsidR="00DE3CB2" w:rsidRPr="00D723FF">
        <w:rPr>
          <w:rStyle w:val="Voetnootmarkering"/>
          <w:lang w:val="en-US"/>
        </w:rPr>
        <w:footnoteReference w:id="111"/>
      </w:r>
      <w:r w:rsidR="00B05B65" w:rsidRPr="00D723FF">
        <w:rPr>
          <w:lang w:val="en-US"/>
        </w:rPr>
        <w:t xml:space="preserve"> </w:t>
      </w:r>
      <w:r w:rsidR="006F2C64" w:rsidRPr="00D723FF">
        <w:rPr>
          <w:lang w:val="en-US"/>
        </w:rPr>
        <w:tab/>
      </w:r>
      <w:r w:rsidR="006F2C64" w:rsidRPr="00D723FF">
        <w:rPr>
          <w:lang w:val="en-US"/>
        </w:rPr>
        <w:br/>
      </w:r>
      <w:r w:rsidR="006F2C64" w:rsidRPr="00D723FF">
        <w:rPr>
          <w:lang w:val="en-US"/>
        </w:rPr>
        <w:br/>
      </w:r>
      <w:r w:rsidR="00240617">
        <w:rPr>
          <w:lang w:val="en-US" w:eastAsia="en-US"/>
        </w:rPr>
        <w:br/>
      </w:r>
      <w:r w:rsidR="00721863" w:rsidRPr="00D723FF">
        <w:rPr>
          <w:lang w:val="en-US" w:eastAsia="en-US"/>
        </w:rPr>
        <w:lastRenderedPageBreak/>
        <w:t xml:space="preserve">These rules of interpretation are particularly relevant for assessing whether environmental destruction can fall within the scope of the Genocide Convention. Article II(c) refers to </w:t>
      </w:r>
      <w:r w:rsidR="00201688" w:rsidRPr="00D723FF">
        <w:rPr>
          <w:lang w:val="en-US" w:eastAsia="en-US"/>
        </w:rPr>
        <w:t>‘</w:t>
      </w:r>
      <w:r w:rsidR="00721863" w:rsidRPr="00D723FF">
        <w:rPr>
          <w:lang w:val="en-US" w:eastAsia="en-US"/>
        </w:rPr>
        <w:t>conditions of life calculated to bring about the group’s physical destruction</w:t>
      </w:r>
      <w:r w:rsidR="00201688" w:rsidRPr="00D723FF">
        <w:rPr>
          <w:lang w:val="en-US" w:eastAsia="en-US"/>
        </w:rPr>
        <w:t>’</w:t>
      </w:r>
      <w:r w:rsidR="00631561" w:rsidRPr="00D723FF">
        <w:rPr>
          <w:rStyle w:val="Voetnootmarkering"/>
          <w:lang w:val="en-US" w:eastAsia="en-US"/>
        </w:rPr>
        <w:footnoteReference w:id="112"/>
      </w:r>
      <w:r w:rsidR="00721863" w:rsidRPr="00D723FF">
        <w:rPr>
          <w:lang w:val="en-US" w:eastAsia="en-US"/>
        </w:rPr>
        <w:t>, but</w:t>
      </w:r>
      <w:r w:rsidR="00657759" w:rsidRPr="00D723FF">
        <w:rPr>
          <w:lang w:val="en-US" w:eastAsia="en-US"/>
        </w:rPr>
        <w:t xml:space="preserve">, as </w:t>
      </w:r>
      <w:r w:rsidR="007D60EC" w:rsidRPr="00D723FF">
        <w:rPr>
          <w:lang w:val="en-US" w:eastAsia="en-US"/>
        </w:rPr>
        <w:t xml:space="preserve">formulated </w:t>
      </w:r>
      <w:r w:rsidR="00657759" w:rsidRPr="00D723FF">
        <w:rPr>
          <w:lang w:val="en-US" w:eastAsia="en-US"/>
        </w:rPr>
        <w:t xml:space="preserve">earlier, without specifications </w:t>
      </w:r>
      <w:r w:rsidR="00721863" w:rsidRPr="00D723FF">
        <w:rPr>
          <w:lang w:val="en-US" w:eastAsia="en-US"/>
        </w:rPr>
        <w:t>what such conditions include. This leaves room for interpretation.</w:t>
      </w:r>
      <w:r w:rsidR="002543D7" w:rsidRPr="00D723FF">
        <w:rPr>
          <w:lang w:val="en-US"/>
        </w:rPr>
        <w:br/>
      </w:r>
      <w:r w:rsidR="002543D7" w:rsidRPr="00D723FF">
        <w:rPr>
          <w:lang w:val="en-US"/>
        </w:rPr>
        <w:br/>
      </w:r>
      <w:r w:rsidR="004754D2" w:rsidRPr="00D723FF">
        <w:rPr>
          <w:lang w:val="en-US"/>
        </w:rPr>
        <w:t xml:space="preserve">From a textual </w:t>
      </w:r>
      <w:r w:rsidR="00A43928">
        <w:rPr>
          <w:lang w:val="en-US"/>
        </w:rPr>
        <w:t>point of view</w:t>
      </w:r>
      <w:r w:rsidR="004754D2" w:rsidRPr="00D723FF">
        <w:rPr>
          <w:lang w:val="en-US"/>
        </w:rPr>
        <w:t xml:space="preserve">, the notions of “conditions of life” and “physical destruction” </w:t>
      </w:r>
      <w:r w:rsidR="00AF1D89" w:rsidRPr="00D723FF">
        <w:rPr>
          <w:lang w:val="en-US"/>
        </w:rPr>
        <w:t>are formulated in broad terms and are not limited to immediate killing</w:t>
      </w:r>
      <w:r w:rsidR="004754D2" w:rsidRPr="00D723FF">
        <w:rPr>
          <w:lang w:val="en-US"/>
        </w:rPr>
        <w:t>.</w:t>
      </w:r>
      <w:r w:rsidR="004754D2" w:rsidRPr="00D723FF">
        <w:rPr>
          <w:rStyle w:val="Voetnootmarkering"/>
          <w:lang w:val="en-US"/>
        </w:rPr>
        <w:footnoteReference w:id="113"/>
      </w:r>
      <w:r w:rsidR="00201688" w:rsidRPr="00D723FF">
        <w:rPr>
          <w:lang w:val="en-US" w:eastAsia="en-US"/>
        </w:rPr>
        <w:t xml:space="preserve"> </w:t>
      </w:r>
      <w:r w:rsidR="009F40E0" w:rsidRPr="00D723FF">
        <w:rPr>
          <w:lang w:val="en-US"/>
        </w:rPr>
        <w:t>This leaves open the possibility that methods of destruction</w:t>
      </w:r>
      <w:r w:rsidR="009978CE" w:rsidRPr="00D723FF">
        <w:rPr>
          <w:lang w:val="en-US"/>
        </w:rPr>
        <w:t xml:space="preserve"> of the environment</w:t>
      </w:r>
      <w:r w:rsidR="009F40E0" w:rsidRPr="00D723FF">
        <w:rPr>
          <w:lang w:val="en-US"/>
        </w:rPr>
        <w:t xml:space="preserve"> affecting the basic conditions necessary for the group’s survival </w:t>
      </w:r>
      <w:r w:rsidR="001425F8" w:rsidRPr="00D723FF">
        <w:rPr>
          <w:lang w:val="en-US"/>
        </w:rPr>
        <w:t>may</w:t>
      </w:r>
      <w:r w:rsidR="009F40E0" w:rsidRPr="00D723FF">
        <w:rPr>
          <w:lang w:val="en-US"/>
        </w:rPr>
        <w:t>, depending on the circumstances, fall within the meaning of the provision.</w:t>
      </w:r>
      <w:r w:rsidR="006F2C64" w:rsidRPr="00D723FF">
        <w:rPr>
          <w:lang w:val="en-US"/>
        </w:rPr>
        <w:tab/>
      </w:r>
      <w:r w:rsidR="006F2C64" w:rsidRPr="00D723FF">
        <w:rPr>
          <w:lang w:val="en-US"/>
        </w:rPr>
        <w:br/>
      </w:r>
      <w:r w:rsidR="006F2C64" w:rsidRPr="00D723FF">
        <w:rPr>
          <w:lang w:val="en-US"/>
        </w:rPr>
        <w:br/>
      </w:r>
      <w:r w:rsidR="001425F8" w:rsidRPr="00D723FF">
        <w:rPr>
          <w:lang w:val="en-US"/>
        </w:rPr>
        <w:t>T</w:t>
      </w:r>
      <w:r w:rsidR="009F40E0" w:rsidRPr="00D723FF">
        <w:rPr>
          <w:lang w:val="en-US"/>
        </w:rPr>
        <w:t>he</w:t>
      </w:r>
      <w:r w:rsidR="007D60EC" w:rsidRPr="00D723FF">
        <w:rPr>
          <w:lang w:val="en-US"/>
        </w:rPr>
        <w:t>refore, the</w:t>
      </w:r>
      <w:r w:rsidR="009F40E0" w:rsidRPr="00D723FF">
        <w:rPr>
          <w:lang w:val="en-US"/>
        </w:rPr>
        <w:t xml:space="preserve"> absence of a precise definition makes it necessary to assess Article II(c) within the broader context of the Convention. Article II(c) </w:t>
      </w:r>
      <w:r w:rsidR="00610D3E" w:rsidRPr="00D723FF">
        <w:rPr>
          <w:lang w:val="en-US"/>
        </w:rPr>
        <w:t>cannot be interpreted separately from the other genocidal acts listed in Article II.</w:t>
      </w:r>
      <w:r w:rsidR="00610D3E" w:rsidRPr="00D723FF">
        <w:rPr>
          <w:rStyle w:val="Voetnootmarkering"/>
          <w:lang w:val="en-US"/>
        </w:rPr>
        <w:footnoteReference w:id="114"/>
      </w:r>
      <w:r w:rsidR="00610D3E" w:rsidRPr="00D723FF">
        <w:rPr>
          <w:lang w:val="en-US"/>
        </w:rPr>
        <w:t xml:space="preserve"> The distinction between Article II(a), concerning direct killing, and Article II(c), concerning the infliction of “conditions of life”, suggests that the Convention </w:t>
      </w:r>
      <w:proofErr w:type="spellStart"/>
      <w:r w:rsidR="00610D3E" w:rsidRPr="00D723FF">
        <w:rPr>
          <w:lang w:val="en-US"/>
        </w:rPr>
        <w:t>recognises</w:t>
      </w:r>
      <w:proofErr w:type="spellEnd"/>
      <w:r w:rsidR="00610D3E" w:rsidRPr="00D723FF">
        <w:rPr>
          <w:lang w:val="en-US"/>
        </w:rPr>
        <w:t xml:space="preserve"> different methods through which the destruction of a protected group may </w:t>
      </w:r>
      <w:r w:rsidR="007D60EC" w:rsidRPr="00D723FF">
        <w:rPr>
          <w:lang w:val="en-US"/>
        </w:rPr>
        <w:t>exist</w:t>
      </w:r>
      <w:r w:rsidR="00610D3E" w:rsidRPr="00D723FF">
        <w:rPr>
          <w:lang w:val="en-US"/>
        </w:rPr>
        <w:t>. Read in that broader context, environmental destruction where access to food, water, shelter, or habitable land is deliberately undermined as a means of targeting the group itself.</w:t>
      </w:r>
      <w:r w:rsidR="00982BC3" w:rsidRPr="00D723FF">
        <w:rPr>
          <w:rStyle w:val="Voetnootmarkering"/>
          <w:lang w:val="en-US"/>
        </w:rPr>
        <w:footnoteReference w:id="115"/>
      </w:r>
      <w:r w:rsidR="006F2C64" w:rsidRPr="00D723FF">
        <w:rPr>
          <w:lang w:val="en-US"/>
        </w:rPr>
        <w:br/>
      </w:r>
      <w:r w:rsidR="006F2C64" w:rsidRPr="00D723FF">
        <w:rPr>
          <w:lang w:val="en-US"/>
        </w:rPr>
        <w:br/>
      </w:r>
      <w:r w:rsidR="00982BC3" w:rsidRPr="00D723FF">
        <w:rPr>
          <w:lang w:val="en-US"/>
        </w:rPr>
        <w:t>This interpretation is further supported by the object and purpose of the Genocide Convention. The Convention aims to prevent the destruction of protected groups as such.</w:t>
      </w:r>
      <w:r w:rsidR="00982BC3" w:rsidRPr="00D723FF">
        <w:rPr>
          <w:rStyle w:val="Voetnootmarkering"/>
          <w:lang w:val="en-US"/>
        </w:rPr>
        <w:footnoteReference w:id="116"/>
      </w:r>
      <w:r w:rsidR="00982BC3" w:rsidRPr="00D723FF">
        <w:rPr>
          <w:lang w:val="en-US"/>
        </w:rPr>
        <w:t xml:space="preserve"> A </w:t>
      </w:r>
      <w:r w:rsidR="004978C2" w:rsidRPr="00D723FF">
        <w:rPr>
          <w:lang w:val="en-US"/>
        </w:rPr>
        <w:t>restrictive interpretation would risk undermining th</w:t>
      </w:r>
      <w:r w:rsidR="007D60EC" w:rsidRPr="00D723FF">
        <w:rPr>
          <w:lang w:val="en-US"/>
        </w:rPr>
        <w:t>e</w:t>
      </w:r>
      <w:r w:rsidR="004978C2" w:rsidRPr="00D723FF">
        <w:rPr>
          <w:lang w:val="en-US"/>
        </w:rPr>
        <w:t xml:space="preserve"> protective purpose by excluding methods of destruction that operate through the deliberate creation of life-threatening conditions</w:t>
      </w:r>
      <w:r w:rsidR="00982BC3" w:rsidRPr="00D723FF">
        <w:rPr>
          <w:lang w:val="en-US"/>
        </w:rPr>
        <w:t>.</w:t>
      </w:r>
      <w:r w:rsidR="00DB3B94" w:rsidRPr="00D723FF">
        <w:rPr>
          <w:rStyle w:val="Voetnootmarkering"/>
          <w:lang w:val="en-US"/>
        </w:rPr>
        <w:footnoteReference w:id="117"/>
      </w:r>
      <w:r w:rsidR="00E91464" w:rsidRPr="00D723FF">
        <w:rPr>
          <w:lang w:val="en-US"/>
        </w:rPr>
        <w:t xml:space="preserve"> </w:t>
      </w:r>
      <w:r w:rsidR="00240617">
        <w:rPr>
          <w:lang w:val="en-US"/>
        </w:rPr>
        <w:tab/>
      </w:r>
      <w:r w:rsidR="00240617">
        <w:rPr>
          <w:lang w:val="en-US"/>
        </w:rPr>
        <w:br/>
      </w:r>
      <w:r w:rsidR="006F0F76" w:rsidRPr="00D723FF">
        <w:rPr>
          <w:lang w:val="en-US"/>
        </w:rPr>
        <w:lastRenderedPageBreak/>
        <w:t xml:space="preserve">In </w:t>
      </w:r>
      <w:r w:rsidR="006F0F76" w:rsidRPr="00D723FF">
        <w:rPr>
          <w:i/>
          <w:iCs/>
          <w:lang w:val="en-US"/>
        </w:rPr>
        <w:t>Croatia v Serbia</w:t>
      </w:r>
      <w:r w:rsidR="006F0F76" w:rsidRPr="00D723FF">
        <w:rPr>
          <w:lang w:val="en-US"/>
        </w:rPr>
        <w:t xml:space="preserve">, the ICJ </w:t>
      </w:r>
      <w:proofErr w:type="spellStart"/>
      <w:r w:rsidR="006F0F76" w:rsidRPr="00D723FF">
        <w:rPr>
          <w:lang w:val="en-US"/>
        </w:rPr>
        <w:t>recognised</w:t>
      </w:r>
      <w:proofErr w:type="spellEnd"/>
      <w:r w:rsidR="006F0F76" w:rsidRPr="00D723FF">
        <w:rPr>
          <w:lang w:val="en-US"/>
        </w:rPr>
        <w:t xml:space="preserve"> that Article II(c) encompass</w:t>
      </w:r>
      <w:r w:rsidR="007D60EC" w:rsidRPr="00D723FF">
        <w:rPr>
          <w:lang w:val="en-US"/>
        </w:rPr>
        <w:t>es</w:t>
      </w:r>
      <w:r w:rsidR="006F0F76" w:rsidRPr="00D723FF">
        <w:rPr>
          <w:lang w:val="en-US"/>
        </w:rPr>
        <w:t xml:space="preserve"> conduct aimed at destroying the conditions necessary for the physical survival of the group.</w:t>
      </w:r>
      <w:r w:rsidR="006F0F76" w:rsidRPr="00D723FF">
        <w:rPr>
          <w:rStyle w:val="Voetnootmarkering"/>
          <w:lang w:val="en-US"/>
        </w:rPr>
        <w:footnoteReference w:id="118"/>
      </w:r>
      <w:r w:rsidR="006F0F76" w:rsidRPr="00D723FF">
        <w:rPr>
          <w:lang w:val="en-US"/>
        </w:rPr>
        <w:t xml:space="preserve"> Read in light of the </w:t>
      </w:r>
      <w:r w:rsidR="00A43928">
        <w:rPr>
          <w:lang w:val="en-US"/>
        </w:rPr>
        <w:t xml:space="preserve">Genocide </w:t>
      </w:r>
      <w:r w:rsidR="006F0F76" w:rsidRPr="00D723FF">
        <w:rPr>
          <w:lang w:val="en-US"/>
        </w:rPr>
        <w:t xml:space="preserve">Convention’s protective purpose, this suggests that Article II(c) should not be interpreted so narrowly as to exclude situations in which environmental destruction is deliberately </w:t>
      </w:r>
      <w:r w:rsidR="007D60EC" w:rsidRPr="00D723FF">
        <w:rPr>
          <w:lang w:val="en-US"/>
        </w:rPr>
        <w:t>employed</w:t>
      </w:r>
      <w:r w:rsidR="006F0F76" w:rsidRPr="00D723FF">
        <w:rPr>
          <w:lang w:val="en-US"/>
        </w:rPr>
        <w:t xml:space="preserve"> to threaten the continued existence of a protected group.</w:t>
      </w:r>
      <w:r w:rsidR="00134FD0" w:rsidRPr="00D723FF">
        <w:rPr>
          <w:rStyle w:val="Voetnootmarkering"/>
          <w:lang w:val="en-US"/>
        </w:rPr>
        <w:footnoteReference w:id="119"/>
      </w:r>
      <w:r w:rsidR="00134FD0" w:rsidRPr="00D723FF">
        <w:rPr>
          <w:lang w:val="en-US"/>
        </w:rPr>
        <w:t xml:space="preserve"> </w:t>
      </w:r>
      <w:r w:rsidR="006F2C64" w:rsidRPr="00D723FF">
        <w:rPr>
          <w:lang w:val="en-US"/>
        </w:rPr>
        <w:tab/>
      </w:r>
      <w:r w:rsidR="006F2C64" w:rsidRPr="00D723FF">
        <w:rPr>
          <w:lang w:val="en-US"/>
        </w:rPr>
        <w:br/>
      </w:r>
      <w:r w:rsidR="006F2C64" w:rsidRPr="00D723FF">
        <w:rPr>
          <w:lang w:val="en-US"/>
        </w:rPr>
        <w:br/>
      </w:r>
      <w:r w:rsidR="00721863" w:rsidRPr="00D723FF">
        <w:rPr>
          <w:lang w:val="en-US" w:eastAsia="en-US"/>
        </w:rPr>
        <w:t xml:space="preserve">However, the interpretative process also sets limits. A purely expansive reading would risk stretching the definition of genocide too far. Environmental harm will only fall within Article II(c) where it is used as a means to destroy a protected group </w:t>
      </w:r>
      <w:r w:rsidR="00C06674" w:rsidRPr="00C06674">
        <w:rPr>
          <w:lang w:eastAsia="en-US"/>
        </w:rPr>
        <w:t xml:space="preserve">and not </w:t>
      </w:r>
      <w:proofErr w:type="spellStart"/>
      <w:r w:rsidR="00C06674" w:rsidRPr="00C06674">
        <w:rPr>
          <w:lang w:eastAsia="en-US"/>
        </w:rPr>
        <w:t>where</w:t>
      </w:r>
      <w:proofErr w:type="spellEnd"/>
      <w:r w:rsidR="00C06674" w:rsidRPr="00C06674">
        <w:rPr>
          <w:lang w:eastAsia="en-US"/>
        </w:rPr>
        <w:t xml:space="preserve"> </w:t>
      </w:r>
      <w:proofErr w:type="spellStart"/>
      <w:r w:rsidR="00C06674" w:rsidRPr="00C06674">
        <w:rPr>
          <w:lang w:eastAsia="en-US"/>
        </w:rPr>
        <w:t>it</w:t>
      </w:r>
      <w:proofErr w:type="spellEnd"/>
      <w:r w:rsidR="00C06674" w:rsidRPr="00C06674">
        <w:rPr>
          <w:lang w:eastAsia="en-US"/>
        </w:rPr>
        <w:t xml:space="preserve"> </w:t>
      </w:r>
      <w:proofErr w:type="spellStart"/>
      <w:r w:rsidR="00C06674" w:rsidRPr="00C06674">
        <w:rPr>
          <w:lang w:eastAsia="en-US"/>
        </w:rPr>
        <w:t>is</w:t>
      </w:r>
      <w:proofErr w:type="spellEnd"/>
      <w:r w:rsidR="00C06674" w:rsidRPr="00C06674">
        <w:rPr>
          <w:lang w:eastAsia="en-US"/>
        </w:rPr>
        <w:t xml:space="preserve"> </w:t>
      </w:r>
      <w:proofErr w:type="spellStart"/>
      <w:r w:rsidR="00C06674" w:rsidRPr="00C06674">
        <w:rPr>
          <w:lang w:eastAsia="en-US"/>
        </w:rPr>
        <w:t>merely</w:t>
      </w:r>
      <w:proofErr w:type="spellEnd"/>
      <w:r w:rsidR="00C06674" w:rsidRPr="00C06674">
        <w:rPr>
          <w:lang w:eastAsia="en-US"/>
        </w:rPr>
        <w:t xml:space="preserve"> incidental or affects the population more </w:t>
      </w:r>
      <w:proofErr w:type="spellStart"/>
      <w:r w:rsidR="00C06674" w:rsidRPr="00C06674">
        <w:rPr>
          <w:lang w:eastAsia="en-US"/>
        </w:rPr>
        <w:t>generally</w:t>
      </w:r>
      <w:proofErr w:type="spellEnd"/>
      <w:r w:rsidR="00721863" w:rsidRPr="00D723FF">
        <w:rPr>
          <w:lang w:val="en-US" w:eastAsia="en-US"/>
        </w:rPr>
        <w:t>.</w:t>
      </w:r>
      <w:r w:rsidR="00F62284" w:rsidRPr="00D723FF">
        <w:rPr>
          <w:rStyle w:val="Voetnootmarkering"/>
          <w:lang w:val="en-US" w:eastAsia="en-US"/>
        </w:rPr>
        <w:footnoteReference w:id="120"/>
      </w:r>
      <w:r w:rsidR="00134FD0" w:rsidRPr="00D723FF">
        <w:rPr>
          <w:lang w:val="en-US" w:eastAsia="en-US"/>
        </w:rPr>
        <w:t xml:space="preserve"> </w:t>
      </w:r>
      <w:r w:rsidR="00721863" w:rsidRPr="00D723FF">
        <w:rPr>
          <w:lang w:val="en-US" w:eastAsia="en-US"/>
        </w:rPr>
        <w:t xml:space="preserve">The key question is therefore not whether environmental destruction occurs, but whether it is employed in a way that targets the survival of a protected group. </w:t>
      </w:r>
      <w:r w:rsidR="00486F6C" w:rsidRPr="00D723FF">
        <w:rPr>
          <w:lang w:val="en-US" w:eastAsia="en-US"/>
        </w:rPr>
        <w:tab/>
      </w:r>
      <w:r w:rsidR="00E2210C" w:rsidRPr="00D723FF">
        <w:rPr>
          <w:lang w:val="en-US" w:eastAsia="en-US"/>
        </w:rPr>
        <w:br/>
      </w:r>
    </w:p>
    <w:p w14:paraId="776C3929" w14:textId="77BD7274" w:rsidR="00077E86" w:rsidRPr="00D723FF" w:rsidRDefault="00F55957" w:rsidP="00D723FF">
      <w:pPr>
        <w:pStyle w:val="Kop2"/>
        <w:spacing w:line="360" w:lineRule="auto"/>
        <w:rPr>
          <w:rFonts w:ascii="Times New Roman" w:hAnsi="Times New Roman" w:cs="Times New Roman"/>
          <w:lang w:val="en-US" w:eastAsia="en-US"/>
        </w:rPr>
      </w:pPr>
      <w:bookmarkStart w:id="26" w:name="_Toc230376201"/>
      <w:r w:rsidRPr="00D723FF">
        <w:rPr>
          <w:rFonts w:ascii="Times New Roman" w:hAnsi="Times New Roman" w:cs="Times New Roman"/>
          <w:lang w:val="en-US"/>
        </w:rPr>
        <w:t>3</w:t>
      </w:r>
      <w:r w:rsidR="00077E86" w:rsidRPr="00D723FF">
        <w:rPr>
          <w:rFonts w:ascii="Times New Roman" w:hAnsi="Times New Roman" w:cs="Times New Roman"/>
          <w:lang w:val="en-US"/>
        </w:rPr>
        <w:t>.</w:t>
      </w:r>
      <w:r w:rsidR="00A676BF" w:rsidRPr="00D723FF">
        <w:rPr>
          <w:rFonts w:ascii="Times New Roman" w:hAnsi="Times New Roman" w:cs="Times New Roman"/>
          <w:lang w:val="en-US"/>
        </w:rPr>
        <w:t>3</w:t>
      </w:r>
      <w:r w:rsidR="00077E86" w:rsidRPr="00D723FF">
        <w:rPr>
          <w:rFonts w:ascii="Times New Roman" w:hAnsi="Times New Roman" w:cs="Times New Roman"/>
          <w:lang w:val="en-US"/>
        </w:rPr>
        <w:t>. Thresholds of destruction: when does indirect harm amount to genocide?</w:t>
      </w:r>
      <w:bookmarkEnd w:id="26"/>
    </w:p>
    <w:p w14:paraId="051D882A" w14:textId="77777777" w:rsidR="00FE7580" w:rsidRPr="00D723FF" w:rsidRDefault="006757FD" w:rsidP="00D723FF">
      <w:pPr>
        <w:spacing w:line="360" w:lineRule="auto"/>
        <w:jc w:val="both"/>
        <w:rPr>
          <w:lang w:val="en-US"/>
        </w:rPr>
      </w:pPr>
      <w:r w:rsidRPr="00D723FF">
        <w:rPr>
          <w:lang w:val="en-US" w:eastAsia="en-US"/>
        </w:rPr>
        <w:t>T</w:t>
      </w:r>
      <w:r w:rsidR="00077E86" w:rsidRPr="00D723FF">
        <w:rPr>
          <w:lang w:val="en-US" w:eastAsia="en-US"/>
        </w:rPr>
        <w:t>his section examines how international courts and tribunals have interpreted and applied these concepts in practice.</w:t>
      </w:r>
      <w:r w:rsidR="00AB5357" w:rsidRPr="00D723FF">
        <w:rPr>
          <w:lang w:val="en-US"/>
        </w:rPr>
        <w:t xml:space="preserve"> As outlined above (see </w:t>
      </w:r>
      <w:proofErr w:type="gramStart"/>
      <w:r w:rsidR="00AB5357" w:rsidRPr="00D723FF">
        <w:rPr>
          <w:i/>
          <w:iCs/>
          <w:lang w:val="en-US"/>
        </w:rPr>
        <w:t xml:space="preserve">supra </w:t>
      </w:r>
      <w:r w:rsidR="00AB5357" w:rsidRPr="00D723FF">
        <w:rPr>
          <w:lang w:val="en-US"/>
        </w:rPr>
        <w:t>Chapter</w:t>
      </w:r>
      <w:proofErr w:type="gramEnd"/>
      <w:r w:rsidR="00AB5357" w:rsidRPr="00D723FF">
        <w:rPr>
          <w:lang w:val="en-US"/>
        </w:rPr>
        <w:t xml:space="preserve"> 1), the crime of genocide requires both a physical element and a specific intent to destroy the protected group</w:t>
      </w:r>
      <w:r w:rsidRPr="00D723FF">
        <w:rPr>
          <w:lang w:val="en-US"/>
        </w:rPr>
        <w:t>.</w:t>
      </w:r>
      <w:r w:rsidR="00AB5357" w:rsidRPr="00D723FF">
        <w:rPr>
          <w:lang w:val="en-US"/>
        </w:rPr>
        <w:t xml:space="preserve"> Although much of the legal debate has focused on </w:t>
      </w:r>
      <w:r w:rsidR="00FB6EDF" w:rsidRPr="00D723FF">
        <w:rPr>
          <w:lang w:val="en-US"/>
        </w:rPr>
        <w:t xml:space="preserve">this specific </w:t>
      </w:r>
      <w:r w:rsidR="00AB5357" w:rsidRPr="00D723FF">
        <w:rPr>
          <w:lang w:val="en-US"/>
        </w:rPr>
        <w:t xml:space="preserve">intent, significant uncertainty remains regarding the scope of conduct capable of constituting </w:t>
      </w:r>
      <w:r w:rsidR="00FB6EDF" w:rsidRPr="00D723FF">
        <w:rPr>
          <w:lang w:val="en-US"/>
        </w:rPr>
        <w:t>the ‘physical destruction’ and ‘</w:t>
      </w:r>
      <w:r w:rsidR="00AB5357" w:rsidRPr="00D723FF">
        <w:rPr>
          <w:lang w:val="en-US"/>
        </w:rPr>
        <w:t>conditions of life</w:t>
      </w:r>
      <w:r w:rsidR="00FB6EDF" w:rsidRPr="00D723FF">
        <w:rPr>
          <w:lang w:val="en-US"/>
        </w:rPr>
        <w:t>’</w:t>
      </w:r>
      <w:r w:rsidR="00AB5357" w:rsidRPr="00D723FF">
        <w:rPr>
          <w:lang w:val="en-US"/>
        </w:rPr>
        <w:t xml:space="preserve"> under Article II(c).</w:t>
      </w:r>
      <w:r w:rsidR="00AB5357" w:rsidRPr="00D723FF">
        <w:rPr>
          <w:rStyle w:val="Voetnootmarkering"/>
          <w:lang w:val="en-US"/>
        </w:rPr>
        <w:footnoteReference w:id="121"/>
      </w:r>
      <w:r w:rsidR="00AB5357" w:rsidRPr="00D723FF">
        <w:rPr>
          <w:lang w:val="en-US"/>
        </w:rPr>
        <w:t xml:space="preserve"> </w:t>
      </w:r>
      <w:r w:rsidR="00FB6EDF" w:rsidRPr="00D723FF">
        <w:t>T</w:t>
      </w:r>
      <w:r w:rsidR="00FB6EDF" w:rsidRPr="00D723FF">
        <w:rPr>
          <w:lang w:val="en-US"/>
        </w:rPr>
        <w:t>he following sections demonstrate that international courts and tribunals have approached indirect forms of destruction under Article II(c) in different ways and t</w:t>
      </w:r>
      <w:r w:rsidR="001D4027" w:rsidRPr="00D723FF">
        <w:rPr>
          <w:lang w:val="en-US"/>
        </w:rPr>
        <w:t>h</w:t>
      </w:r>
      <w:r w:rsidR="00FB6EDF" w:rsidRPr="00D723FF">
        <w:rPr>
          <w:lang w:val="en-US"/>
        </w:rPr>
        <w:t>resholds.</w:t>
      </w:r>
    </w:p>
    <w:p w14:paraId="7574B229" w14:textId="2E7D65FA" w:rsidR="00077E86" w:rsidRPr="00D723FF" w:rsidRDefault="00FE7580" w:rsidP="00D723FF">
      <w:pPr>
        <w:spacing w:line="360" w:lineRule="auto"/>
        <w:jc w:val="both"/>
        <w:rPr>
          <w:lang w:val="en-US" w:eastAsia="en-US"/>
        </w:rPr>
      </w:pPr>
      <w:r w:rsidRPr="00D723FF">
        <w:t xml:space="preserve">While </w:t>
      </w:r>
      <w:proofErr w:type="spellStart"/>
      <w:r w:rsidRPr="00D723FF">
        <w:t>some</w:t>
      </w:r>
      <w:proofErr w:type="spellEnd"/>
      <w:r w:rsidRPr="00D723FF">
        <w:t xml:space="preserve"> of the jurisprudence </w:t>
      </w:r>
      <w:proofErr w:type="spellStart"/>
      <w:r w:rsidRPr="00D723FF">
        <w:t>discussed</w:t>
      </w:r>
      <w:proofErr w:type="spellEnd"/>
      <w:r w:rsidRPr="00D723FF">
        <w:t xml:space="preserve"> </w:t>
      </w:r>
      <w:proofErr w:type="spellStart"/>
      <w:r w:rsidRPr="00D723FF">
        <w:t>below</w:t>
      </w:r>
      <w:proofErr w:type="spellEnd"/>
      <w:r w:rsidRPr="00D723FF">
        <w:t xml:space="preserve"> </w:t>
      </w:r>
      <w:proofErr w:type="spellStart"/>
      <w:r w:rsidRPr="00D723FF">
        <w:t>concerns</w:t>
      </w:r>
      <w:proofErr w:type="spellEnd"/>
      <w:r w:rsidRPr="00D723FF">
        <w:t xml:space="preserve"> the destruction of </w:t>
      </w:r>
      <w:proofErr w:type="spellStart"/>
      <w:r w:rsidRPr="00D723FF">
        <w:t>resources</w:t>
      </w:r>
      <w:proofErr w:type="spellEnd"/>
      <w:r w:rsidRPr="00D723FF">
        <w:t xml:space="preserve"> and living conditions </w:t>
      </w:r>
      <w:proofErr w:type="spellStart"/>
      <w:r w:rsidRPr="00D723FF">
        <w:t>closely</w:t>
      </w:r>
      <w:proofErr w:type="spellEnd"/>
      <w:r w:rsidRPr="00D723FF">
        <w:t xml:space="preserve"> </w:t>
      </w:r>
      <w:proofErr w:type="spellStart"/>
      <w:r w:rsidRPr="00D723FF">
        <w:t>connected</w:t>
      </w:r>
      <w:proofErr w:type="spellEnd"/>
      <w:r w:rsidRPr="00D723FF">
        <w:t xml:space="preserve"> to </w:t>
      </w:r>
      <w:proofErr w:type="spellStart"/>
      <w:r w:rsidRPr="00D723FF">
        <w:t>environmental</w:t>
      </w:r>
      <w:proofErr w:type="spellEnd"/>
      <w:r w:rsidRPr="00D723FF">
        <w:t xml:space="preserve"> </w:t>
      </w:r>
      <w:proofErr w:type="spellStart"/>
      <w:r w:rsidRPr="00D723FF">
        <w:t>harm</w:t>
      </w:r>
      <w:proofErr w:type="spellEnd"/>
      <w:r w:rsidRPr="00D723FF">
        <w:t xml:space="preserve">, the cases do not </w:t>
      </w:r>
      <w:proofErr w:type="spellStart"/>
      <w:r w:rsidRPr="00D723FF">
        <w:t>always</w:t>
      </w:r>
      <w:proofErr w:type="spellEnd"/>
      <w:r w:rsidRPr="00D723FF">
        <w:t xml:space="preserve"> </w:t>
      </w:r>
      <w:proofErr w:type="spellStart"/>
      <w:r w:rsidRPr="00D723FF">
        <w:t>directly</w:t>
      </w:r>
      <w:proofErr w:type="spellEnd"/>
      <w:r w:rsidRPr="00D723FF">
        <w:t xml:space="preserve"> </w:t>
      </w:r>
      <w:proofErr w:type="spellStart"/>
      <w:r w:rsidRPr="00D723FF">
        <w:t>address</w:t>
      </w:r>
      <w:proofErr w:type="spellEnd"/>
      <w:r w:rsidRPr="00D723FF">
        <w:t xml:space="preserve"> </w:t>
      </w:r>
      <w:proofErr w:type="spellStart"/>
      <w:r w:rsidRPr="00D723FF">
        <w:t>environmental</w:t>
      </w:r>
      <w:proofErr w:type="spellEnd"/>
      <w:r w:rsidRPr="00D723FF">
        <w:t xml:space="preserve"> destruction as an </w:t>
      </w:r>
      <w:proofErr w:type="spellStart"/>
      <w:r w:rsidRPr="00D723FF">
        <w:t>autonomous</w:t>
      </w:r>
      <w:proofErr w:type="spellEnd"/>
      <w:r w:rsidRPr="00D723FF">
        <w:t xml:space="preserve"> </w:t>
      </w:r>
      <w:proofErr w:type="spellStart"/>
      <w:r w:rsidRPr="00D723FF">
        <w:t>legal</w:t>
      </w:r>
      <w:proofErr w:type="spellEnd"/>
      <w:r w:rsidRPr="00D723FF">
        <w:t xml:space="preserve"> concept</w:t>
      </w:r>
      <w:r w:rsidR="00C06674">
        <w:t>.</w:t>
      </w:r>
      <w:r w:rsidRPr="00D723FF">
        <w:tab/>
      </w:r>
      <w:r w:rsidR="00093AF1" w:rsidRPr="00D723FF">
        <w:rPr>
          <w:lang w:val="en-US" w:eastAsia="en-US"/>
        </w:rPr>
        <w:br/>
      </w:r>
    </w:p>
    <w:p w14:paraId="13F78D2B" w14:textId="6B08DF64" w:rsidR="005D347E" w:rsidRPr="00D723FF" w:rsidRDefault="00F55957" w:rsidP="00C7415B">
      <w:pPr>
        <w:pStyle w:val="Kop3"/>
        <w:spacing w:before="0" w:after="0" w:line="360" w:lineRule="auto"/>
        <w:jc w:val="both"/>
        <w:rPr>
          <w:rStyle w:val="Nadruk"/>
          <w:rFonts w:cs="Times New Roman"/>
          <w:i/>
          <w:iCs w:val="0"/>
          <w:lang w:val="en-US"/>
        </w:rPr>
      </w:pPr>
      <w:bookmarkStart w:id="27" w:name="_Toc230376202"/>
      <w:r w:rsidRPr="00D723FF">
        <w:rPr>
          <w:rFonts w:cs="Times New Roman"/>
          <w:lang w:val="en-US"/>
        </w:rPr>
        <w:lastRenderedPageBreak/>
        <w:t>3</w:t>
      </w:r>
      <w:r w:rsidR="005D347E" w:rsidRPr="00D723FF">
        <w:rPr>
          <w:rFonts w:cs="Times New Roman"/>
          <w:lang w:val="en-US"/>
        </w:rPr>
        <w:t>.</w:t>
      </w:r>
      <w:r w:rsidR="00A676BF" w:rsidRPr="00D723FF">
        <w:rPr>
          <w:rStyle w:val="Nadruk"/>
          <w:rFonts w:cs="Times New Roman"/>
          <w:i/>
          <w:iCs w:val="0"/>
          <w:lang w:val="en-US"/>
        </w:rPr>
        <w:t>3</w:t>
      </w:r>
      <w:r w:rsidR="005D347E" w:rsidRPr="00D723FF">
        <w:rPr>
          <w:rFonts w:cs="Times New Roman"/>
          <w:lang w:val="en-US"/>
        </w:rPr>
        <w:t>.</w:t>
      </w:r>
      <w:r w:rsidR="00A676BF" w:rsidRPr="00D723FF">
        <w:rPr>
          <w:rStyle w:val="Nadruk"/>
          <w:rFonts w:cs="Times New Roman"/>
          <w:i/>
          <w:iCs w:val="0"/>
          <w:lang w:val="en-US"/>
        </w:rPr>
        <w:t>1</w:t>
      </w:r>
      <w:r w:rsidR="005D347E" w:rsidRPr="00D723FF">
        <w:rPr>
          <w:rFonts w:cs="Times New Roman"/>
          <w:lang w:val="en-US"/>
        </w:rPr>
        <w:t xml:space="preserve">. </w:t>
      </w:r>
      <w:r w:rsidR="00AB5418" w:rsidRPr="00D723FF">
        <w:rPr>
          <w:rFonts w:cs="Times New Roman"/>
          <w:lang w:val="en-US"/>
        </w:rPr>
        <w:t>The recognition of indirect destruction</w:t>
      </w:r>
      <w:r w:rsidR="005D347E" w:rsidRPr="00D723FF">
        <w:rPr>
          <w:rFonts w:cs="Times New Roman"/>
          <w:lang w:val="en-US"/>
        </w:rPr>
        <w:t>: ICTR</w:t>
      </w:r>
      <w:bookmarkEnd w:id="27"/>
    </w:p>
    <w:p w14:paraId="506DA8CD" w14:textId="703B099C" w:rsidR="00245EFB" w:rsidRPr="00D723FF" w:rsidRDefault="00AB5418" w:rsidP="00C7415B">
      <w:pPr>
        <w:spacing w:after="0" w:line="360" w:lineRule="auto"/>
        <w:jc w:val="both"/>
        <w:rPr>
          <w:lang w:val="en-US" w:eastAsia="en-US"/>
        </w:rPr>
      </w:pPr>
      <w:r w:rsidRPr="00D723FF">
        <w:rPr>
          <w:lang w:val="en-US"/>
        </w:rPr>
        <w:t xml:space="preserve">The ICTR was among the first international tribunals to clearly </w:t>
      </w:r>
      <w:proofErr w:type="spellStart"/>
      <w:r w:rsidRPr="00D723FF">
        <w:rPr>
          <w:lang w:val="en-US"/>
        </w:rPr>
        <w:t>recognise</w:t>
      </w:r>
      <w:proofErr w:type="spellEnd"/>
      <w:r w:rsidRPr="00D723FF">
        <w:rPr>
          <w:lang w:val="en-US"/>
        </w:rPr>
        <w:t xml:space="preserve"> that genocide may also be committed through indirect methods of destruction.</w:t>
      </w:r>
      <w:r w:rsidR="005025B9" w:rsidRPr="00D723FF">
        <w:rPr>
          <w:lang w:val="en-US" w:eastAsia="en-US"/>
        </w:rPr>
        <w:t xml:space="preserve"> In </w:t>
      </w:r>
      <w:r w:rsidR="005025B9" w:rsidRPr="00D723FF">
        <w:rPr>
          <w:i/>
          <w:iCs/>
          <w:lang w:val="en-US" w:eastAsia="en-US"/>
        </w:rPr>
        <w:t xml:space="preserve">Prosecutor v </w:t>
      </w:r>
      <w:proofErr w:type="spellStart"/>
      <w:r w:rsidR="005025B9" w:rsidRPr="00D723FF">
        <w:rPr>
          <w:i/>
          <w:iCs/>
          <w:lang w:val="en-US" w:eastAsia="en-US"/>
        </w:rPr>
        <w:t>Akayesu</w:t>
      </w:r>
      <w:proofErr w:type="spellEnd"/>
      <w:r w:rsidR="005025B9" w:rsidRPr="00D723FF">
        <w:rPr>
          <w:lang w:val="en-US" w:eastAsia="en-US"/>
        </w:rPr>
        <w:t xml:space="preserve">, </w:t>
      </w:r>
      <w:r w:rsidR="00335066" w:rsidRPr="00D723FF">
        <w:rPr>
          <w:lang w:val="en-US" w:eastAsia="en-US"/>
        </w:rPr>
        <w:t>w</w:t>
      </w:r>
      <w:r w:rsidR="00335066" w:rsidRPr="00D723FF">
        <w:rPr>
          <w:lang w:val="en-US"/>
        </w:rPr>
        <w:t>hich concerned widespread violence against the Tutsi population in Rwanda</w:t>
      </w:r>
      <w:r w:rsidR="00335066" w:rsidRPr="00D723FF">
        <w:rPr>
          <w:lang w:val="en-US" w:eastAsia="en-US"/>
        </w:rPr>
        <w:t>,</w:t>
      </w:r>
      <w:r w:rsidR="005025B9" w:rsidRPr="00D723FF">
        <w:rPr>
          <w:lang w:val="en-US" w:eastAsia="en-US"/>
        </w:rPr>
        <w:t xml:space="preserve"> </w:t>
      </w:r>
      <w:r w:rsidR="00335066" w:rsidRPr="00D723FF">
        <w:rPr>
          <w:lang w:val="en-US" w:eastAsia="en-US"/>
        </w:rPr>
        <w:t>t</w:t>
      </w:r>
      <w:r w:rsidR="005025B9" w:rsidRPr="00D723FF">
        <w:rPr>
          <w:lang w:val="en-US" w:eastAsia="en-US"/>
        </w:rPr>
        <w:t xml:space="preserve">he </w:t>
      </w:r>
      <w:r w:rsidR="00335066" w:rsidRPr="00D723FF">
        <w:rPr>
          <w:lang w:val="en-US" w:eastAsia="en-US"/>
        </w:rPr>
        <w:t>ICTR</w:t>
      </w:r>
      <w:r w:rsidR="005025B9" w:rsidRPr="00D723FF">
        <w:rPr>
          <w:lang w:val="en-US" w:eastAsia="en-US"/>
        </w:rPr>
        <w:t xml:space="preserve"> held that genocide can also be committed through conditions of life that lead to the gradual destruction of a group.</w:t>
      </w:r>
      <w:r w:rsidR="00335066" w:rsidRPr="00D723FF">
        <w:rPr>
          <w:rStyle w:val="Voetnootmarkering"/>
          <w:lang w:val="en-US" w:eastAsia="en-US"/>
        </w:rPr>
        <w:t xml:space="preserve"> </w:t>
      </w:r>
      <w:r w:rsidR="00335066" w:rsidRPr="00D723FF">
        <w:rPr>
          <w:rStyle w:val="Voetnootmarkering"/>
          <w:lang w:val="en-US" w:eastAsia="en-US"/>
        </w:rPr>
        <w:footnoteReference w:id="122"/>
      </w:r>
      <w:r w:rsidR="00335066" w:rsidRPr="00D723FF">
        <w:rPr>
          <w:lang w:val="en-US" w:eastAsia="en-US"/>
        </w:rPr>
        <w:t xml:space="preserve"> </w:t>
      </w:r>
      <w:r w:rsidR="005025B9" w:rsidRPr="00D723FF">
        <w:rPr>
          <w:lang w:val="en-US" w:eastAsia="en-US"/>
        </w:rPr>
        <w:t xml:space="preserve"> </w:t>
      </w:r>
      <w:r w:rsidR="00335066" w:rsidRPr="00D723FF">
        <w:rPr>
          <w:lang w:val="en-US"/>
        </w:rPr>
        <w:t>As discussed above, this included conduct affecting the conditions necessary for the group’s survival.</w:t>
      </w:r>
      <w:r w:rsidR="0063689F" w:rsidRPr="00D723FF">
        <w:rPr>
          <w:lang w:val="en-US"/>
        </w:rPr>
        <w:t xml:space="preserve"> </w:t>
      </w:r>
      <w:r w:rsidR="005025B9" w:rsidRPr="00D723FF">
        <w:rPr>
          <w:lang w:val="en-US" w:eastAsia="en-US"/>
        </w:rPr>
        <w:t>The threshold was reached where such conditions were deliberately imposed to destroy the group.</w:t>
      </w:r>
      <w:r w:rsidR="00335066" w:rsidRPr="00D723FF">
        <w:rPr>
          <w:lang w:val="en-US" w:eastAsia="en-US"/>
        </w:rPr>
        <w:t xml:space="preserve"> </w:t>
      </w:r>
      <w:r w:rsidR="00335066" w:rsidRPr="00D723FF">
        <w:rPr>
          <w:lang w:val="en-US"/>
        </w:rPr>
        <w:t>In doing so, the Tribunal clarified that the threshold under Article II(c) is reached where such conditions are deliberately imposed with the intent to physically destroy the protected group, in whole or in part.</w:t>
      </w:r>
      <w:r w:rsidR="00335066" w:rsidRPr="00D723FF">
        <w:rPr>
          <w:rStyle w:val="Voetnootmarkering"/>
          <w:lang w:val="en-US"/>
        </w:rPr>
        <w:footnoteReference w:id="123"/>
      </w:r>
      <w:r w:rsidR="006F2C64" w:rsidRPr="00D723FF">
        <w:rPr>
          <w:lang w:val="en-US"/>
        </w:rPr>
        <w:tab/>
      </w:r>
      <w:r w:rsidR="006F2C64" w:rsidRPr="00D723FF">
        <w:rPr>
          <w:lang w:val="en-US" w:eastAsia="en-US"/>
        </w:rPr>
        <w:br/>
      </w:r>
      <w:r w:rsidR="006F2C64" w:rsidRPr="00D723FF">
        <w:rPr>
          <w:lang w:val="en-US" w:eastAsia="en-US"/>
        </w:rPr>
        <w:br/>
      </w:r>
      <w:r w:rsidR="00335066" w:rsidRPr="00D723FF">
        <w:rPr>
          <w:lang w:val="en-US"/>
        </w:rPr>
        <w:t xml:space="preserve">This understanding was further confirmed in </w:t>
      </w:r>
      <w:proofErr w:type="spellStart"/>
      <w:r w:rsidR="00335066" w:rsidRPr="00D723FF">
        <w:rPr>
          <w:rStyle w:val="Nadruk"/>
          <w:lang w:val="en-US"/>
        </w:rPr>
        <w:t>Kayishema</w:t>
      </w:r>
      <w:proofErr w:type="spellEnd"/>
      <w:r w:rsidR="00335066" w:rsidRPr="00D723FF">
        <w:rPr>
          <w:rStyle w:val="Nadruk"/>
          <w:lang w:val="en-US"/>
        </w:rPr>
        <w:t xml:space="preserve"> and Ruzindana</w:t>
      </w:r>
      <w:r w:rsidR="007F5A68" w:rsidRPr="00D723FF">
        <w:rPr>
          <w:lang w:val="en-US"/>
        </w:rPr>
        <w:t>, which concerned attacks against Tutsi civilians during the Rwandan genocide</w:t>
      </w:r>
      <w:r w:rsidR="00335066" w:rsidRPr="00D723FF">
        <w:rPr>
          <w:lang w:val="en-US"/>
        </w:rPr>
        <w:t>.</w:t>
      </w:r>
      <w:r w:rsidR="007F5A68" w:rsidRPr="00D723FF">
        <w:rPr>
          <w:rStyle w:val="Voetnootmarkering"/>
          <w:lang w:val="en-US"/>
        </w:rPr>
        <w:footnoteReference w:id="124"/>
      </w:r>
      <w:r w:rsidR="00335066" w:rsidRPr="00D723FF">
        <w:rPr>
          <w:lang w:val="en-US"/>
        </w:rPr>
        <w:t xml:space="preserve"> </w:t>
      </w:r>
      <w:r w:rsidR="00503CFB" w:rsidRPr="00D723FF">
        <w:rPr>
          <w:lang w:val="en-US"/>
        </w:rPr>
        <w:t>The ICTR accepted that Article II(c) may encompass conduct aimed at depriving a group of essential means of survival, including access to food, shelter, and medical care.</w:t>
      </w:r>
      <w:r w:rsidR="00503CFB" w:rsidRPr="00D723FF">
        <w:rPr>
          <w:rStyle w:val="Voetnootmarkering"/>
          <w:lang w:val="en-US"/>
        </w:rPr>
        <w:footnoteReference w:id="125"/>
      </w:r>
      <w:r w:rsidR="00335066" w:rsidRPr="00D723FF">
        <w:rPr>
          <w:lang w:val="en-US"/>
        </w:rPr>
        <w:t xml:space="preserve"> </w:t>
      </w:r>
      <w:r w:rsidR="00503CFB" w:rsidRPr="00D723FF">
        <w:rPr>
          <w:lang w:val="en-US"/>
        </w:rPr>
        <w:t>This is particularly relevant for the present research, since environmental destruction may similarly operate through the contamination or destruction of water sources, agricultural land, or other resources indispensable for the survival of the protected group.</w:t>
      </w:r>
      <w:r w:rsidR="001F1C7B" w:rsidRPr="00D723FF">
        <w:rPr>
          <w:rStyle w:val="Voetnootmarkering"/>
          <w:lang w:val="en-US"/>
        </w:rPr>
        <w:footnoteReference w:id="126"/>
      </w:r>
      <w:r w:rsidR="00C7415B">
        <w:rPr>
          <w:lang w:val="en-US"/>
        </w:rPr>
        <w:tab/>
      </w:r>
      <w:r w:rsidR="00C7415B">
        <w:rPr>
          <w:lang w:val="en-US"/>
        </w:rPr>
        <w:br/>
      </w:r>
    </w:p>
    <w:p w14:paraId="20B1CFE3" w14:textId="2A65847B" w:rsidR="007D141B" w:rsidRPr="00D723FF" w:rsidRDefault="00F55957" w:rsidP="007E0E6F">
      <w:pPr>
        <w:pStyle w:val="Kop3"/>
        <w:spacing w:before="0" w:line="360" w:lineRule="auto"/>
        <w:jc w:val="both"/>
        <w:rPr>
          <w:rFonts w:cs="Times New Roman"/>
          <w:lang w:val="en-US"/>
        </w:rPr>
      </w:pPr>
      <w:bookmarkStart w:id="28" w:name="_Toc230376203"/>
      <w:r w:rsidRPr="00D723FF">
        <w:rPr>
          <w:rStyle w:val="Zwaar"/>
          <w:rFonts w:cs="Times New Roman"/>
          <w:b w:val="0"/>
          <w:bCs w:val="0"/>
          <w:lang w:val="en-US"/>
        </w:rPr>
        <w:t>3</w:t>
      </w:r>
      <w:r w:rsidR="007D141B" w:rsidRPr="00D723FF">
        <w:rPr>
          <w:rStyle w:val="Zwaar"/>
          <w:rFonts w:cs="Times New Roman"/>
          <w:b w:val="0"/>
          <w:bCs w:val="0"/>
          <w:lang w:val="en-US"/>
        </w:rPr>
        <w:t>.</w:t>
      </w:r>
      <w:r w:rsidR="00A676BF" w:rsidRPr="00D723FF">
        <w:rPr>
          <w:rStyle w:val="Nadruk"/>
          <w:rFonts w:cs="Times New Roman"/>
          <w:i/>
          <w:iCs w:val="0"/>
          <w:lang w:val="en-US"/>
        </w:rPr>
        <w:t>3.</w:t>
      </w:r>
      <w:r w:rsidR="007D141B" w:rsidRPr="00D723FF">
        <w:rPr>
          <w:rStyle w:val="Zwaar"/>
          <w:rFonts w:cs="Times New Roman"/>
          <w:b w:val="0"/>
          <w:bCs w:val="0"/>
          <w:lang w:val="en-US"/>
        </w:rPr>
        <w:t xml:space="preserve">2. </w:t>
      </w:r>
      <w:r w:rsidR="00245EFB" w:rsidRPr="00D723FF">
        <w:rPr>
          <w:rFonts w:cs="Times New Roman"/>
        </w:rPr>
        <w:t>The limitation of indirect destruction</w:t>
      </w:r>
      <w:r w:rsidR="007D141B" w:rsidRPr="00D723FF">
        <w:rPr>
          <w:rStyle w:val="Zwaar"/>
          <w:rFonts w:cs="Times New Roman"/>
          <w:b w:val="0"/>
          <w:bCs w:val="0"/>
          <w:lang w:val="en-US"/>
        </w:rPr>
        <w:t>: ICTY</w:t>
      </w:r>
      <w:bookmarkEnd w:id="28"/>
    </w:p>
    <w:p w14:paraId="4344F9BE" w14:textId="4BE32EE3" w:rsidR="00A676BF" w:rsidRPr="007E0E6F" w:rsidRDefault="00245EFB" w:rsidP="007E0E6F">
      <w:pPr>
        <w:spacing w:after="100" w:afterAutospacing="1" w:line="360" w:lineRule="auto"/>
        <w:jc w:val="both"/>
        <w:rPr>
          <w:lang w:val="en-US" w:eastAsia="nl-NL"/>
        </w:rPr>
      </w:pPr>
      <w:r w:rsidRPr="00D723FF">
        <w:rPr>
          <w:lang w:val="en-US" w:eastAsia="nl-NL"/>
        </w:rPr>
        <w:t xml:space="preserve">While the ICTR </w:t>
      </w:r>
      <w:proofErr w:type="spellStart"/>
      <w:r w:rsidRPr="00D723FF">
        <w:rPr>
          <w:lang w:val="en-US" w:eastAsia="nl-NL"/>
        </w:rPr>
        <w:t>recognised</w:t>
      </w:r>
      <w:proofErr w:type="spellEnd"/>
      <w:r w:rsidRPr="00D723FF">
        <w:rPr>
          <w:lang w:val="en-US" w:eastAsia="nl-NL"/>
        </w:rPr>
        <w:t xml:space="preserve"> that genocide may be committed through indirect methods of destruction, the ICTY jurisprudence further clarified the limits of Article II(c). </w:t>
      </w:r>
      <w:r w:rsidR="00A373E0" w:rsidRPr="00D723FF">
        <w:rPr>
          <w:lang w:val="en-US"/>
        </w:rPr>
        <w:t xml:space="preserve">In </w:t>
      </w:r>
      <w:r w:rsidR="00A373E0" w:rsidRPr="00D723FF">
        <w:rPr>
          <w:rStyle w:val="Nadruk"/>
          <w:lang w:val="en-US"/>
        </w:rPr>
        <w:t>Prosecutor v Krstić</w:t>
      </w:r>
      <w:r w:rsidR="00A373E0" w:rsidRPr="00D723FF">
        <w:rPr>
          <w:lang w:val="en-US"/>
        </w:rPr>
        <w:t xml:space="preserve">, concerning the Srebrenica massacre, the Tribunal </w:t>
      </w:r>
      <w:proofErr w:type="spellStart"/>
      <w:r w:rsidR="00A373E0" w:rsidRPr="00D723FF">
        <w:rPr>
          <w:lang w:val="en-US"/>
        </w:rPr>
        <w:t>recognised</w:t>
      </w:r>
      <w:proofErr w:type="spellEnd"/>
      <w:r w:rsidR="00A373E0" w:rsidRPr="00D723FF">
        <w:rPr>
          <w:lang w:val="en-US"/>
        </w:rPr>
        <w:t xml:space="preserve"> genocide in relation to the execution of Bosnian Muslim men and boys after the fall of Srebrenica.</w:t>
      </w:r>
      <w:r w:rsidR="00A373E0" w:rsidRPr="00D723FF">
        <w:rPr>
          <w:rStyle w:val="Voetnootmarkering"/>
          <w:lang w:val="en-US"/>
        </w:rPr>
        <w:footnoteReference w:id="127"/>
      </w:r>
      <w:r w:rsidR="00A373E0" w:rsidRPr="00D723FF">
        <w:rPr>
          <w:lang w:val="en-US"/>
        </w:rPr>
        <w:t xml:space="preserve"> </w:t>
      </w:r>
      <w:r w:rsidR="0063689F" w:rsidRPr="00D723FF">
        <w:rPr>
          <w:lang w:val="en-US"/>
        </w:rPr>
        <w:t>However</w:t>
      </w:r>
      <w:r w:rsidR="00A373E0" w:rsidRPr="00D723FF">
        <w:rPr>
          <w:lang w:val="en-US"/>
        </w:rPr>
        <w:t>, the ICTY drew a clear distinction between the physical destruction of a protected group and the mere displacement of a population.</w:t>
      </w:r>
      <w:r w:rsidR="00A373E0" w:rsidRPr="00D723FF">
        <w:rPr>
          <w:rStyle w:val="Voetnootmarkering"/>
          <w:lang w:val="en-US"/>
        </w:rPr>
        <w:footnoteReference w:id="128"/>
      </w:r>
      <w:r w:rsidR="00A373E0" w:rsidRPr="00D723FF">
        <w:rPr>
          <w:lang w:val="en-US"/>
        </w:rPr>
        <w:t xml:space="preserve"> The forced transfer of women, children, and elderly persons, </w:t>
      </w:r>
      <w:r w:rsidR="00A373E0" w:rsidRPr="00D723FF">
        <w:rPr>
          <w:lang w:val="en-US"/>
        </w:rPr>
        <w:lastRenderedPageBreak/>
        <w:t xml:space="preserve">although causing severe humanitarian suffering, was </w:t>
      </w:r>
      <w:r w:rsidRPr="00D723FF">
        <w:rPr>
          <w:lang w:val="en-US"/>
        </w:rPr>
        <w:t xml:space="preserve">therefore </w:t>
      </w:r>
      <w:r w:rsidR="00A373E0" w:rsidRPr="00D723FF">
        <w:rPr>
          <w:lang w:val="en-US"/>
        </w:rPr>
        <w:t>not in itself considered genocidal</w:t>
      </w:r>
      <w:r w:rsidR="00C06674">
        <w:rPr>
          <w:lang w:val="en-US"/>
        </w:rPr>
        <w:t>.</w:t>
      </w:r>
      <w:r w:rsidR="00A373E0" w:rsidRPr="00D723FF">
        <w:rPr>
          <w:rStyle w:val="Voetnootmarkering"/>
          <w:lang w:val="en-US"/>
        </w:rPr>
        <w:footnoteReference w:id="129"/>
      </w:r>
      <w:r w:rsidR="006F2C64" w:rsidRPr="00D723FF">
        <w:rPr>
          <w:lang w:val="en-US"/>
        </w:rPr>
        <w:br/>
      </w:r>
      <w:r w:rsidR="009512C5" w:rsidRPr="00D723FF">
        <w:rPr>
          <w:lang w:val="en-US"/>
        </w:rPr>
        <w:br/>
      </w:r>
      <w:r w:rsidR="00655E82" w:rsidRPr="00D723FF">
        <w:rPr>
          <w:lang w:val="en-US"/>
        </w:rPr>
        <w:t>The ICTY nevertheless did not exclude that conduct affecting the conditions necessary for survival could fall within Article II(c)</w:t>
      </w:r>
      <w:r w:rsidR="009512C5" w:rsidRPr="00D723FF">
        <w:rPr>
          <w:lang w:val="en-US"/>
        </w:rPr>
        <w:t xml:space="preserve">. </w:t>
      </w:r>
      <w:r w:rsidRPr="00D723FF">
        <w:rPr>
          <w:lang w:val="en-US"/>
        </w:rPr>
        <w:t xml:space="preserve">In </w:t>
      </w:r>
      <w:proofErr w:type="spellStart"/>
      <w:r w:rsidRPr="00D723FF">
        <w:rPr>
          <w:rStyle w:val="Nadruk"/>
          <w:lang w:val="en-US"/>
        </w:rPr>
        <w:t>Stakić</w:t>
      </w:r>
      <w:proofErr w:type="spellEnd"/>
      <w:r w:rsidRPr="00D723FF">
        <w:rPr>
          <w:lang w:val="en-US"/>
        </w:rPr>
        <w:t xml:space="preserve">, the ICTY examined the persecution and expulsion of non-Serb civilians in the </w:t>
      </w:r>
      <w:proofErr w:type="spellStart"/>
      <w:r w:rsidRPr="00D723FF">
        <w:rPr>
          <w:lang w:val="en-US"/>
        </w:rPr>
        <w:t>Prijedor</w:t>
      </w:r>
      <w:proofErr w:type="spellEnd"/>
      <w:r w:rsidRPr="00D723FF">
        <w:rPr>
          <w:lang w:val="en-US"/>
        </w:rPr>
        <w:t xml:space="preserve"> municipality during the Bosnian conflict.</w:t>
      </w:r>
      <w:r w:rsidR="00655E82" w:rsidRPr="00D723FF">
        <w:rPr>
          <w:rStyle w:val="Voetnootmarkering"/>
          <w:lang w:val="en-US"/>
        </w:rPr>
        <w:footnoteReference w:id="130"/>
      </w:r>
      <w:r w:rsidRPr="00D723FF">
        <w:rPr>
          <w:lang w:val="en-US"/>
        </w:rPr>
        <w:t xml:space="preserve"> The </w:t>
      </w:r>
      <w:r w:rsidR="00C06674">
        <w:rPr>
          <w:lang w:val="en-US"/>
        </w:rPr>
        <w:t>ICTY</w:t>
      </w:r>
      <w:r w:rsidRPr="00D723FF">
        <w:rPr>
          <w:lang w:val="en-US"/>
        </w:rPr>
        <w:t xml:space="preserve"> clarified that Article II(c) concerns methods of destruction which, although not immediately lethal, are ultimately aimed at the physical destruction of the group’s members.</w:t>
      </w:r>
      <w:r w:rsidR="00655E82" w:rsidRPr="00D723FF">
        <w:rPr>
          <w:rStyle w:val="Voetnootmarkering"/>
          <w:lang w:val="en-US"/>
        </w:rPr>
        <w:footnoteReference w:id="131"/>
      </w:r>
      <w:r w:rsidR="00655E82" w:rsidRPr="00D723FF">
        <w:rPr>
          <w:lang w:val="en-US"/>
        </w:rPr>
        <w:t xml:space="preserve"> The case therefore illustrates that conduct affecting the conditions necessary for survival may fall within the actus reus of genocide, but only where it is connected to the destruction of the protected group itself. </w:t>
      </w:r>
      <w:r w:rsidR="004F3D65" w:rsidRPr="00D723FF">
        <w:rPr>
          <w:rStyle w:val="Voetnootmarkering"/>
          <w:lang w:val="en-US"/>
        </w:rPr>
        <w:footnoteReference w:id="132"/>
      </w:r>
      <w:r w:rsidR="006F2C64" w:rsidRPr="00D723FF">
        <w:rPr>
          <w:lang w:val="en-US"/>
        </w:rPr>
        <w:tab/>
      </w:r>
      <w:r w:rsidR="006F2C64" w:rsidRPr="00D723FF">
        <w:rPr>
          <w:lang w:val="en-US"/>
        </w:rPr>
        <w:br/>
      </w:r>
      <w:r w:rsidR="006F2C64" w:rsidRPr="00D723FF">
        <w:rPr>
          <w:lang w:val="en-US"/>
        </w:rPr>
        <w:br/>
      </w:r>
      <w:r w:rsidR="00312084" w:rsidRPr="00D723FF">
        <w:rPr>
          <w:lang w:val="en-US"/>
        </w:rPr>
        <w:t>This distinction is relevant in the context of environmental destruction. The ICTY jurisprudence illustrates how the notion of “conditions of life” under Article II(c) may include conduct affecting the basic conditions necessary for the survival of the group.</w:t>
      </w:r>
      <w:r w:rsidR="00312084" w:rsidRPr="00D723FF">
        <w:rPr>
          <w:rStyle w:val="Voetnootmarkering"/>
          <w:lang w:val="en-US"/>
        </w:rPr>
        <w:footnoteReference w:id="133"/>
      </w:r>
      <w:r w:rsidR="00312084" w:rsidRPr="00D723FF">
        <w:rPr>
          <w:lang w:val="en-US"/>
        </w:rPr>
        <w:t xml:space="preserve"> Environmental harm may similarly produce severe humanitarian consequences or undermine access to resources indispensable for survival without necessarily demonstrating conduct aimed at the destruction of the protected</w:t>
      </w:r>
      <w:r w:rsidR="00312084" w:rsidRPr="00D723FF">
        <w:t xml:space="preserve"> group </w:t>
      </w:r>
      <w:proofErr w:type="spellStart"/>
      <w:r w:rsidR="00312084" w:rsidRPr="00D723FF">
        <w:t>itself</w:t>
      </w:r>
      <w:proofErr w:type="spellEnd"/>
      <w:r w:rsidR="00312084" w:rsidRPr="00D723FF">
        <w:t>.</w:t>
      </w:r>
      <w:r w:rsidR="00640C90" w:rsidRPr="00D723FF">
        <w:rPr>
          <w:rStyle w:val="Voetnootmarkering"/>
        </w:rPr>
        <w:footnoteReference w:id="134"/>
      </w:r>
      <w:r w:rsidR="00D83E2B" w:rsidRPr="00D723FF">
        <w:tab/>
      </w:r>
      <w:r w:rsidR="00D83E2B" w:rsidRPr="00D723FF">
        <w:br/>
      </w:r>
    </w:p>
    <w:p w14:paraId="63CDF630" w14:textId="7FC78C87" w:rsidR="004677C2" w:rsidRPr="00D723FF" w:rsidRDefault="007E0E6F" w:rsidP="00C7415B">
      <w:pPr>
        <w:pStyle w:val="Normaalweb"/>
        <w:spacing w:after="0" w:line="360" w:lineRule="auto"/>
        <w:ind w:firstLine="708"/>
        <w:jc w:val="both"/>
        <w:rPr>
          <w:rFonts w:cs="Times New Roman"/>
          <w:lang w:val="en-US"/>
        </w:rPr>
      </w:pPr>
      <w:bookmarkStart w:id="29" w:name="_Toc230376204"/>
      <w:r w:rsidRPr="00C7415B">
        <w:rPr>
          <w:rStyle w:val="Kop3Char"/>
        </w:rPr>
        <w:t xml:space="preserve">3.3.3. </w:t>
      </w:r>
      <w:proofErr w:type="spellStart"/>
      <w:r w:rsidRPr="00C7415B">
        <w:rPr>
          <w:rStyle w:val="Kop3Char"/>
        </w:rPr>
        <w:t>Environmental</w:t>
      </w:r>
      <w:proofErr w:type="spellEnd"/>
      <w:r w:rsidRPr="00C7415B">
        <w:rPr>
          <w:rStyle w:val="Kop3Char"/>
        </w:rPr>
        <w:t xml:space="preserve"> destruction </w:t>
      </w:r>
      <w:proofErr w:type="spellStart"/>
      <w:r w:rsidRPr="00C7415B">
        <w:rPr>
          <w:rStyle w:val="Kop3Char"/>
        </w:rPr>
        <w:t>within</w:t>
      </w:r>
      <w:proofErr w:type="spellEnd"/>
      <w:r w:rsidRPr="00C7415B">
        <w:rPr>
          <w:rStyle w:val="Kop3Char"/>
        </w:rPr>
        <w:t xml:space="preserve"> </w:t>
      </w:r>
      <w:proofErr w:type="spellStart"/>
      <w:r w:rsidRPr="00C7415B">
        <w:rPr>
          <w:rStyle w:val="Kop3Char"/>
        </w:rPr>
        <w:t>genocidal</w:t>
      </w:r>
      <w:proofErr w:type="spellEnd"/>
      <w:r w:rsidRPr="00C7415B">
        <w:rPr>
          <w:rStyle w:val="Kop3Char"/>
        </w:rPr>
        <w:t xml:space="preserve"> </w:t>
      </w:r>
      <w:proofErr w:type="spellStart"/>
      <w:r w:rsidRPr="00C7415B">
        <w:rPr>
          <w:rStyle w:val="Kop3Char"/>
        </w:rPr>
        <w:t>campaign</w:t>
      </w:r>
      <w:proofErr w:type="spellEnd"/>
      <w:r w:rsidRPr="00C7415B">
        <w:rPr>
          <w:rStyle w:val="Kop3Char"/>
        </w:rPr>
        <w:t>: ICC</w:t>
      </w:r>
      <w:bookmarkEnd w:id="29"/>
      <w:r w:rsidR="00063A39">
        <w:rPr>
          <w:rStyle w:val="Kop3Char"/>
        </w:rPr>
        <w:tab/>
      </w:r>
      <w:r w:rsidRPr="00C7415B">
        <w:rPr>
          <w:rStyle w:val="Kop3Char"/>
        </w:rPr>
        <w:br/>
      </w:r>
      <w:r w:rsidR="0026308C" w:rsidRPr="00D723FF">
        <w:rPr>
          <w:rFonts w:cs="Times New Roman"/>
        </w:rPr>
        <w:t xml:space="preserve">The ICC further developed the interpretation of Article II(c) in the context of environmental and resource-related destruction. In </w:t>
      </w:r>
      <w:r w:rsidR="0026308C" w:rsidRPr="00D723FF">
        <w:rPr>
          <w:rStyle w:val="Nadruk"/>
          <w:rFonts w:cs="Times New Roman"/>
        </w:rPr>
        <w:t>Prosecutor v Al Bashir</w:t>
      </w:r>
      <w:r w:rsidR="0026308C" w:rsidRPr="00D723FF">
        <w:rPr>
          <w:rFonts w:cs="Times New Roman"/>
        </w:rPr>
        <w:t>, concerning attacks against Fur, Masalit, and Zaghawa groups in Darfur, the ICC emphasised that Article II(c) requires not only the infliction of destructive conditions of life, but also that such conduct be “calculated to bring about the physical destruction” of the protected group.</w:t>
      </w:r>
      <w:r w:rsidR="0026308C" w:rsidRPr="00D723FF">
        <w:rPr>
          <w:rStyle w:val="Voetnootmarkering"/>
          <w:rFonts w:cs="Times New Roman"/>
        </w:rPr>
        <w:footnoteReference w:id="135"/>
      </w:r>
      <w:r w:rsidR="00E402C1" w:rsidRPr="00D723FF">
        <w:rPr>
          <w:rFonts w:cs="Times New Roman"/>
        </w:rPr>
        <w:t xml:space="preserve"> The Prosecution referred, for example, to the destruction of wells and food supplies, as well as the forced displacement of civilians into </w:t>
      </w:r>
      <w:r w:rsidR="00E402C1" w:rsidRPr="00D723FF">
        <w:rPr>
          <w:rFonts w:cs="Times New Roman"/>
        </w:rPr>
        <w:lastRenderedPageBreak/>
        <w:t>inhospitable areas where survival became increasingly difficult.</w:t>
      </w:r>
      <w:r w:rsidR="00E402C1" w:rsidRPr="00D723FF">
        <w:rPr>
          <w:rStyle w:val="Voetnootmarkering"/>
          <w:rFonts w:cs="Times New Roman"/>
        </w:rPr>
        <w:footnoteReference w:id="136"/>
      </w:r>
      <w:r w:rsidR="006F2C64" w:rsidRPr="00D723FF">
        <w:rPr>
          <w:rFonts w:cs="Times New Roman"/>
        </w:rPr>
        <w:tab/>
      </w:r>
      <w:r w:rsidR="00486F6C" w:rsidRPr="00D723FF">
        <w:rPr>
          <w:rFonts w:cs="Times New Roman"/>
        </w:rPr>
        <w:t xml:space="preserve"> </w:t>
      </w:r>
      <w:r w:rsidR="00E402C1" w:rsidRPr="00D723FF">
        <w:rPr>
          <w:rFonts w:cs="Times New Roman"/>
          <w:lang w:eastAsia="nl-NL"/>
        </w:rPr>
        <w:t>The Prosecution argued that methods of destruction other than direct killings formed an integral part of the genocidal campaign.</w:t>
      </w:r>
      <w:r w:rsidR="00E402C1" w:rsidRPr="00D723FF">
        <w:rPr>
          <w:rStyle w:val="Voetnootmarkering"/>
          <w:rFonts w:cs="Times New Roman"/>
          <w:lang w:eastAsia="nl-NL"/>
        </w:rPr>
        <w:footnoteReference w:id="137"/>
      </w:r>
      <w:r w:rsidR="00E402C1" w:rsidRPr="00D723FF">
        <w:rPr>
          <w:rFonts w:cs="Times New Roman"/>
          <w:lang w:eastAsia="nl-NL"/>
        </w:rPr>
        <w:t xml:space="preserve"> These methods included the destruction of means of survival, forced displacement into inhospitable terrain, usurpation of land, and the denial of humanitarian assistance necessary to sustain life.</w:t>
      </w:r>
      <w:r w:rsidR="00E402C1" w:rsidRPr="00D723FF">
        <w:rPr>
          <w:rStyle w:val="Voetnootmarkering"/>
          <w:rFonts w:cs="Times New Roman"/>
          <w:lang w:eastAsia="nl-NL"/>
        </w:rPr>
        <w:footnoteReference w:id="138"/>
      </w:r>
      <w:r w:rsidR="006F2C64" w:rsidRPr="00D723FF">
        <w:rPr>
          <w:rFonts w:cs="Times New Roman"/>
          <w:lang w:eastAsia="nl-NL"/>
        </w:rPr>
        <w:tab/>
      </w:r>
      <w:r w:rsidR="006F2C64" w:rsidRPr="00D723FF">
        <w:rPr>
          <w:rFonts w:cs="Times New Roman"/>
        </w:rPr>
        <w:br/>
      </w:r>
      <w:r w:rsidR="006F2C64" w:rsidRPr="00D723FF">
        <w:rPr>
          <w:rFonts w:cs="Times New Roman"/>
        </w:rPr>
        <w:br/>
      </w:r>
      <w:r w:rsidR="00187457" w:rsidRPr="00D723FF">
        <w:rPr>
          <w:rFonts w:cs="Times New Roman"/>
        </w:rPr>
        <w:t>The destruction of wells, food supplies, and access to habitable land demonstrates how environmental and resource-related harm may contribute to the destruction of the conditions necessary for the survival of the group.</w:t>
      </w:r>
      <w:r w:rsidR="00187457" w:rsidRPr="00D723FF">
        <w:rPr>
          <w:rStyle w:val="Voetnootmarkering"/>
          <w:rFonts w:cs="Times New Roman"/>
        </w:rPr>
        <w:footnoteReference w:id="139"/>
      </w:r>
      <w:r w:rsidR="00187457" w:rsidRPr="00D723FF">
        <w:rPr>
          <w:rFonts w:cs="Times New Roman"/>
        </w:rPr>
        <w:t xml:space="preserve"> </w:t>
      </w:r>
      <w:r w:rsidR="00E95B85" w:rsidRPr="00D723FF">
        <w:rPr>
          <w:rFonts w:cs="Times New Roman"/>
        </w:rPr>
        <w:t>Similar concerns can be observed in the context of the war in Ukraine, where large-scale environmental destruction has severely affected access to water, agriculture, and habitable territory</w:t>
      </w:r>
      <w:r w:rsidR="00187457" w:rsidRPr="00D723FF">
        <w:rPr>
          <w:rFonts w:cs="Times New Roman"/>
        </w:rPr>
        <w:t>.</w:t>
      </w:r>
      <w:r w:rsidR="00FC23AC" w:rsidRPr="00D723FF">
        <w:rPr>
          <w:rStyle w:val="Voetnootmarkering"/>
          <w:rFonts w:cs="Times New Roman"/>
        </w:rPr>
        <w:footnoteReference w:id="140"/>
      </w:r>
      <w:r w:rsidR="00FC23AC" w:rsidRPr="00D723FF">
        <w:rPr>
          <w:rFonts w:cs="Times New Roman"/>
        </w:rPr>
        <w:t xml:space="preserve"> </w:t>
      </w:r>
      <w:r w:rsidR="00C06674">
        <w:rPr>
          <w:rFonts w:cs="Times New Roman"/>
        </w:rPr>
        <w:t>However,</w:t>
      </w:r>
      <w:r w:rsidR="00187457" w:rsidRPr="00D723FF">
        <w:rPr>
          <w:rFonts w:cs="Times New Roman"/>
        </w:rPr>
        <w:t xml:space="preserve"> the ICC stressed that such conduct only becomes genocidal where it forms part of a broader process aimed at the destruction of the protected group itself.</w:t>
      </w:r>
      <w:r w:rsidR="00E95B85" w:rsidRPr="00D723FF">
        <w:rPr>
          <w:rStyle w:val="Voetnootmarkering"/>
          <w:rFonts w:cs="Times New Roman"/>
        </w:rPr>
        <w:footnoteReference w:id="141"/>
      </w:r>
      <w:r w:rsidR="006F2C64" w:rsidRPr="00D723FF">
        <w:rPr>
          <w:rFonts w:cs="Times New Roman"/>
        </w:rPr>
        <w:tab/>
      </w:r>
      <w:r w:rsidR="006F2C64" w:rsidRPr="00D723FF">
        <w:rPr>
          <w:rFonts w:cs="Times New Roman"/>
        </w:rPr>
        <w:br/>
      </w:r>
      <w:r w:rsidR="006F2C64" w:rsidRPr="00D723FF">
        <w:rPr>
          <w:rFonts w:cs="Times New Roman"/>
        </w:rPr>
        <w:br/>
      </w:r>
      <w:r w:rsidR="006F2C64" w:rsidRPr="00D723FF">
        <w:rPr>
          <w:rStyle w:val="Kop3Char"/>
          <w:rFonts w:cs="Times New Roman"/>
          <w:lang w:val="en-US"/>
        </w:rPr>
        <w:tab/>
        <w:t>3</w:t>
      </w:r>
      <w:r w:rsidR="00A676BF" w:rsidRPr="00D723FF">
        <w:rPr>
          <w:rStyle w:val="Kop3Char"/>
          <w:rFonts w:cs="Times New Roman"/>
          <w:lang w:val="en-US"/>
        </w:rPr>
        <w:t>.</w:t>
      </w:r>
      <w:r w:rsidR="004F2020" w:rsidRPr="00D723FF">
        <w:rPr>
          <w:rStyle w:val="Kop3Char"/>
          <w:rFonts w:cs="Times New Roman"/>
          <w:lang w:val="en-US"/>
        </w:rPr>
        <w:t>3</w:t>
      </w:r>
      <w:r w:rsidR="00A676BF" w:rsidRPr="00D723FF">
        <w:rPr>
          <w:rStyle w:val="Kop3Char"/>
          <w:rFonts w:cs="Times New Roman"/>
          <w:lang w:val="en-US"/>
        </w:rPr>
        <w:t xml:space="preserve">.4. </w:t>
      </w:r>
      <w:r w:rsidR="000609A3" w:rsidRPr="00D723FF">
        <w:rPr>
          <w:rStyle w:val="Kop3Char"/>
          <w:rFonts w:cs="Times New Roman"/>
        </w:rPr>
        <w:t xml:space="preserve">The restrictive </w:t>
      </w:r>
      <w:proofErr w:type="spellStart"/>
      <w:r w:rsidR="000609A3" w:rsidRPr="00D723FF">
        <w:rPr>
          <w:rStyle w:val="Kop3Char"/>
          <w:rFonts w:cs="Times New Roman"/>
        </w:rPr>
        <w:t>interpretation</w:t>
      </w:r>
      <w:proofErr w:type="spellEnd"/>
      <w:r w:rsidR="000609A3" w:rsidRPr="00D723FF">
        <w:rPr>
          <w:rStyle w:val="Kop3Char"/>
          <w:rFonts w:cs="Times New Roman"/>
        </w:rPr>
        <w:t xml:space="preserve"> of Article II(c)</w:t>
      </w:r>
      <w:r w:rsidR="00A676BF" w:rsidRPr="00D723FF">
        <w:rPr>
          <w:rStyle w:val="Kop3Char"/>
          <w:rFonts w:cs="Times New Roman"/>
          <w:lang w:val="en-US"/>
        </w:rPr>
        <w:t>: ICJ</w:t>
      </w:r>
      <w:r w:rsidR="006F2C64" w:rsidRPr="00D723FF">
        <w:rPr>
          <w:rStyle w:val="Kop3Char"/>
          <w:rFonts w:cs="Times New Roman"/>
          <w:lang w:val="en-US"/>
        </w:rPr>
        <w:t xml:space="preserve"> </w:t>
      </w:r>
      <w:r w:rsidR="006F2C64" w:rsidRPr="00D723FF">
        <w:rPr>
          <w:rStyle w:val="Kop3Char"/>
          <w:rFonts w:cs="Times New Roman"/>
          <w:lang w:val="en-US"/>
        </w:rPr>
        <w:tab/>
      </w:r>
      <w:r w:rsidR="00607755" w:rsidRPr="00D723FF">
        <w:rPr>
          <w:rFonts w:cs="Times New Roman"/>
          <w:iCs/>
          <w:szCs w:val="24"/>
          <w:lang w:val="en-US"/>
        </w:rPr>
        <w:br/>
      </w:r>
      <w:r w:rsidR="00646F98" w:rsidRPr="00D723FF">
        <w:rPr>
          <w:rFonts w:cs="Times New Roman"/>
          <w:iCs/>
          <w:szCs w:val="24"/>
          <w:lang w:val="en-US"/>
        </w:rPr>
        <w:t>The ICJ further clarified the limits of indirect destruction under Article II(c). In Bosnia and Herzegovina v Serbia and Montenegro, concerning atrocities committed during the Bosnian war, the Court confirmed that genocide requires conduct aimed at the physical destruction of a protected group.</w:t>
      </w:r>
      <w:r w:rsidR="00646F98" w:rsidRPr="00D723FF">
        <w:rPr>
          <w:rStyle w:val="Voetnootmarkering"/>
          <w:rFonts w:cs="Times New Roman"/>
          <w:szCs w:val="24"/>
          <w:lang w:val="en-US"/>
        </w:rPr>
        <w:footnoteReference w:id="142"/>
      </w:r>
      <w:r w:rsidR="006F2C64" w:rsidRPr="00D723FF">
        <w:rPr>
          <w:rFonts w:cs="Times New Roman"/>
          <w:szCs w:val="24"/>
          <w:lang w:val="en-US"/>
        </w:rPr>
        <w:tab/>
      </w:r>
      <w:r w:rsidR="006F2C64" w:rsidRPr="00D723FF">
        <w:rPr>
          <w:rFonts w:cs="Times New Roman"/>
          <w:iCs/>
          <w:szCs w:val="24"/>
          <w:lang w:val="en-US"/>
        </w:rPr>
        <w:br/>
      </w:r>
      <w:r w:rsidR="006F2C64" w:rsidRPr="00D723FF">
        <w:rPr>
          <w:rFonts w:cs="Times New Roman"/>
          <w:iCs/>
          <w:szCs w:val="24"/>
          <w:lang w:val="en-US"/>
        </w:rPr>
        <w:br/>
      </w:r>
      <w:r w:rsidR="00E95B85" w:rsidRPr="00D723FF">
        <w:rPr>
          <w:rFonts w:cs="Times New Roman"/>
          <w:szCs w:val="24"/>
          <w:lang w:val="en-US"/>
        </w:rPr>
        <w:t xml:space="preserve">The ICJ </w:t>
      </w:r>
      <w:proofErr w:type="spellStart"/>
      <w:r w:rsidR="00E95B85" w:rsidRPr="00D723FF">
        <w:rPr>
          <w:rFonts w:cs="Times New Roman"/>
          <w:szCs w:val="24"/>
          <w:lang w:val="en-US"/>
        </w:rPr>
        <w:t>recognised</w:t>
      </w:r>
      <w:proofErr w:type="spellEnd"/>
      <w:r w:rsidR="00E95B85" w:rsidRPr="00D723FF">
        <w:rPr>
          <w:rFonts w:cs="Times New Roman"/>
          <w:szCs w:val="24"/>
          <w:lang w:val="en-US"/>
        </w:rPr>
        <w:t xml:space="preserve"> genocide only in relation to the Srebrenica massacre</w:t>
      </w:r>
      <w:r w:rsidR="00E95B85" w:rsidRPr="00D723FF">
        <w:rPr>
          <w:rFonts w:cs="Times New Roman"/>
          <w:i/>
          <w:iCs/>
          <w:szCs w:val="24"/>
          <w:lang w:val="en-US"/>
        </w:rPr>
        <w:t>.</w:t>
      </w:r>
      <w:r w:rsidR="00646F98" w:rsidRPr="00D723FF">
        <w:rPr>
          <w:rStyle w:val="Voetnootmarkering"/>
          <w:rFonts w:cs="Times New Roman"/>
          <w:szCs w:val="24"/>
          <w:lang w:val="en-US"/>
        </w:rPr>
        <w:footnoteReference w:id="143"/>
      </w:r>
      <w:r w:rsidR="00E95B85" w:rsidRPr="00D723FF">
        <w:rPr>
          <w:rFonts w:cs="Times New Roman"/>
          <w:i/>
          <w:iCs/>
          <w:szCs w:val="24"/>
          <w:lang w:val="en-US"/>
        </w:rPr>
        <w:t xml:space="preserve"> </w:t>
      </w:r>
      <w:r w:rsidR="001F1550" w:rsidRPr="00D723FF">
        <w:rPr>
          <w:rFonts w:cs="Times New Roman"/>
          <w:iCs/>
          <w:szCs w:val="24"/>
          <w:lang w:val="en-US"/>
        </w:rPr>
        <w:t>Although the Court acknowledged the extreme seriousness of the acts committed elsewhere in Bosnia and Herzegovina, it accepted that some of these acts could fall within Article II of the Convention</w:t>
      </w:r>
      <w:r w:rsidR="00E95B85" w:rsidRPr="00D723FF">
        <w:rPr>
          <w:rFonts w:cs="Times New Roman"/>
          <w:i/>
          <w:iCs/>
          <w:szCs w:val="24"/>
          <w:lang w:val="en-US"/>
        </w:rPr>
        <w:t>.</w:t>
      </w:r>
      <w:r w:rsidR="001F1550" w:rsidRPr="00D723FF">
        <w:rPr>
          <w:rStyle w:val="Voetnootmarkering"/>
          <w:rFonts w:cs="Times New Roman"/>
          <w:szCs w:val="24"/>
          <w:lang w:val="en-US"/>
        </w:rPr>
        <w:footnoteReference w:id="144"/>
      </w:r>
      <w:r w:rsidR="00E95B85" w:rsidRPr="00D723FF">
        <w:rPr>
          <w:rFonts w:cs="Times New Roman"/>
          <w:i/>
          <w:iCs/>
          <w:szCs w:val="24"/>
          <w:lang w:val="en-US"/>
        </w:rPr>
        <w:t xml:space="preserve"> </w:t>
      </w:r>
      <w:r w:rsidR="006D730A">
        <w:rPr>
          <w:rFonts w:cs="Times New Roman"/>
          <w:i/>
          <w:iCs/>
          <w:szCs w:val="24"/>
          <w:lang w:val="en-US"/>
        </w:rPr>
        <w:br/>
      </w:r>
      <w:r w:rsidR="006D730A">
        <w:rPr>
          <w:rFonts w:cs="Times New Roman"/>
          <w:i/>
          <w:iCs/>
          <w:szCs w:val="24"/>
          <w:lang w:val="en-US"/>
        </w:rPr>
        <w:br/>
      </w:r>
      <w:r w:rsidR="00FD4C0D" w:rsidRPr="00D723FF">
        <w:rPr>
          <w:rFonts w:cs="Times New Roman"/>
          <w:iCs/>
          <w:szCs w:val="24"/>
          <w:lang w:val="en-US"/>
        </w:rPr>
        <w:lastRenderedPageBreak/>
        <w:t>However, the ICJ concluded that genocide had not been established because the specific intent</w:t>
      </w:r>
      <w:r w:rsidR="00FD4C0D" w:rsidRPr="00D723FF">
        <w:rPr>
          <w:rFonts w:cs="Times New Roman"/>
          <w:i/>
          <w:iCs/>
          <w:szCs w:val="24"/>
          <w:lang w:val="en-US"/>
        </w:rPr>
        <w:t xml:space="preserve"> </w:t>
      </w:r>
      <w:r w:rsidR="00FD4C0D" w:rsidRPr="00D723FF">
        <w:rPr>
          <w:rFonts w:cs="Times New Roman"/>
          <w:szCs w:val="24"/>
          <w:lang w:val="en-US"/>
        </w:rPr>
        <w:t>(</w:t>
      </w:r>
      <w:proofErr w:type="spellStart"/>
      <w:r w:rsidR="00FD4C0D" w:rsidRPr="00D723FF">
        <w:rPr>
          <w:rFonts w:cs="Times New Roman"/>
          <w:i/>
          <w:iCs/>
          <w:szCs w:val="24"/>
          <w:lang w:val="en-US"/>
        </w:rPr>
        <w:t>mens</w:t>
      </w:r>
      <w:proofErr w:type="spellEnd"/>
      <w:r w:rsidR="00FD4C0D" w:rsidRPr="00D723FF">
        <w:rPr>
          <w:rFonts w:cs="Times New Roman"/>
          <w:i/>
          <w:iCs/>
          <w:szCs w:val="24"/>
          <w:lang w:val="en-US"/>
        </w:rPr>
        <w:t xml:space="preserve"> rea</w:t>
      </w:r>
      <w:r w:rsidR="00FD4C0D" w:rsidRPr="00D723FF">
        <w:rPr>
          <w:rFonts w:cs="Times New Roman"/>
          <w:szCs w:val="24"/>
          <w:lang w:val="en-US"/>
        </w:rPr>
        <w:t>)</w:t>
      </w:r>
      <w:r w:rsidR="00FD4C0D" w:rsidRPr="00D723FF">
        <w:rPr>
          <w:rFonts w:cs="Times New Roman"/>
          <w:iCs/>
          <w:szCs w:val="24"/>
          <w:lang w:val="en-US"/>
        </w:rPr>
        <w:t xml:space="preserve"> to destroy the protected group had not been sufficiently demonstrated.</w:t>
      </w:r>
      <w:r w:rsidR="00FD4C0D" w:rsidRPr="00D723FF">
        <w:rPr>
          <w:rStyle w:val="Voetnootmarkering"/>
          <w:rFonts w:cs="Times New Roman"/>
          <w:szCs w:val="24"/>
          <w:lang w:val="en-US"/>
        </w:rPr>
        <w:footnoteReference w:id="145"/>
      </w:r>
      <w:r w:rsidR="006F2C64" w:rsidRPr="00D723FF">
        <w:rPr>
          <w:rFonts w:cs="Times New Roman"/>
          <w:iCs/>
          <w:szCs w:val="24"/>
          <w:lang w:val="en-US"/>
        </w:rPr>
        <w:br/>
      </w:r>
      <w:r w:rsidR="006F2C64" w:rsidRPr="00D723FF">
        <w:rPr>
          <w:rFonts w:cs="Times New Roman"/>
          <w:iCs/>
          <w:szCs w:val="24"/>
          <w:lang w:val="en-US"/>
        </w:rPr>
        <w:br/>
      </w:r>
      <w:r w:rsidR="004677C2" w:rsidRPr="00D723FF">
        <w:rPr>
          <w:rFonts w:cs="Times New Roman"/>
          <w:iCs/>
          <w:szCs w:val="24"/>
          <w:lang w:val="en-US"/>
        </w:rPr>
        <w:t xml:space="preserve">This approach was further reflected in </w:t>
      </w:r>
      <w:r w:rsidR="004677C2" w:rsidRPr="00C06674">
        <w:rPr>
          <w:rFonts w:cs="Times New Roman"/>
          <w:i/>
          <w:szCs w:val="24"/>
          <w:lang w:val="en-US"/>
        </w:rPr>
        <w:t>Croatia v Serbia</w:t>
      </w:r>
      <w:r w:rsidR="004677C2" w:rsidRPr="00D723FF">
        <w:rPr>
          <w:rFonts w:cs="Times New Roman"/>
          <w:iCs/>
          <w:szCs w:val="24"/>
          <w:lang w:val="en-US"/>
        </w:rPr>
        <w:t>.</w:t>
      </w:r>
      <w:r w:rsidR="00C06674">
        <w:rPr>
          <w:rStyle w:val="Voetnootmarkering"/>
          <w:rFonts w:cs="Times New Roman"/>
          <w:iCs/>
          <w:szCs w:val="24"/>
          <w:lang w:val="en-US"/>
        </w:rPr>
        <w:footnoteReference w:id="146"/>
      </w:r>
      <w:r w:rsidR="004677C2" w:rsidRPr="00D723FF">
        <w:rPr>
          <w:rFonts w:cs="Times New Roman"/>
          <w:iCs/>
          <w:szCs w:val="24"/>
          <w:lang w:val="en-US"/>
        </w:rPr>
        <w:t xml:space="preserve"> Referring to Article II(c), the ICJ explained that the provision concerns methods of destruction “calculated to bring about the physical destruction of the group”.</w:t>
      </w:r>
      <w:r w:rsidR="004677C2" w:rsidRPr="00D723FF">
        <w:rPr>
          <w:rStyle w:val="Voetnootmarkering"/>
          <w:rFonts w:cs="Times New Roman"/>
          <w:iCs/>
          <w:szCs w:val="24"/>
          <w:lang w:val="en-US"/>
        </w:rPr>
        <w:footnoteReference w:id="147"/>
      </w:r>
      <w:r w:rsidR="004677C2" w:rsidRPr="00D723FF">
        <w:rPr>
          <w:rFonts w:eastAsia="Times New Roman" w:cs="Times New Roman"/>
          <w:iCs/>
          <w:szCs w:val="24"/>
          <w:lang w:val="en-US"/>
        </w:rPr>
        <w:t xml:space="preserve"> </w:t>
      </w:r>
      <w:r w:rsidR="006C65FC" w:rsidRPr="00D723FF">
        <w:rPr>
          <w:rFonts w:cs="Times New Roman"/>
          <w:iCs/>
          <w:szCs w:val="24"/>
          <w:lang w:val="en-US"/>
        </w:rPr>
        <w:t>Contrary to</w:t>
      </w:r>
      <w:r w:rsidR="00AD4021" w:rsidRPr="00D723FF">
        <w:rPr>
          <w:rFonts w:cs="Times New Roman"/>
          <w:iCs/>
          <w:szCs w:val="24"/>
          <w:lang w:val="en-US"/>
        </w:rPr>
        <w:t xml:space="preserve"> the ICTY in</w:t>
      </w:r>
      <w:r w:rsidR="004677C2" w:rsidRPr="00D723FF">
        <w:rPr>
          <w:rFonts w:cs="Times New Roman"/>
          <w:iCs/>
          <w:szCs w:val="24"/>
          <w:lang w:val="en-US"/>
        </w:rPr>
        <w:t xml:space="preserve"> </w:t>
      </w:r>
      <w:proofErr w:type="spellStart"/>
      <w:r w:rsidR="004677C2" w:rsidRPr="00D723FF">
        <w:rPr>
          <w:rFonts w:cs="Times New Roman"/>
          <w:i/>
          <w:szCs w:val="24"/>
          <w:lang w:val="en-US"/>
        </w:rPr>
        <w:t>Akayesu</w:t>
      </w:r>
      <w:proofErr w:type="spellEnd"/>
      <w:r w:rsidR="00AD4021" w:rsidRPr="00D723FF">
        <w:rPr>
          <w:rFonts w:cs="Times New Roman"/>
          <w:iCs/>
          <w:szCs w:val="24"/>
          <w:lang w:val="en-US"/>
        </w:rPr>
        <w:t xml:space="preserve"> </w:t>
      </w:r>
      <w:r w:rsidR="006C65FC" w:rsidRPr="00D723FF">
        <w:rPr>
          <w:rFonts w:cs="Times New Roman"/>
          <w:iCs/>
          <w:szCs w:val="24"/>
          <w:lang w:val="en-US"/>
        </w:rPr>
        <w:t>, the ICJ concluded that the evidence did not establish that these acts were aimed at bringing about the physical destruction of the protected group.</w:t>
      </w:r>
      <w:r w:rsidR="00AD4021" w:rsidRPr="00D723FF">
        <w:rPr>
          <w:rStyle w:val="Voetnootmarkering"/>
          <w:rFonts w:cs="Times New Roman"/>
          <w:iCs/>
          <w:szCs w:val="24"/>
          <w:lang w:val="en-US"/>
        </w:rPr>
        <w:footnoteReference w:id="148"/>
      </w:r>
      <w:r w:rsidR="006C65FC" w:rsidRPr="00D723FF">
        <w:rPr>
          <w:rFonts w:cs="Times New Roman"/>
          <w:iCs/>
          <w:szCs w:val="24"/>
          <w:lang w:val="en-US"/>
        </w:rPr>
        <w:t xml:space="preserve"> The judgment therefore confirms that severe humanitarian suffering or destruction of property alone does not automatically fall within Article II(c).</w:t>
      </w:r>
      <w:r w:rsidR="00AD4021" w:rsidRPr="00D723FF">
        <w:rPr>
          <w:rStyle w:val="Voetnootmarkering"/>
          <w:rFonts w:cs="Times New Roman"/>
          <w:iCs/>
          <w:szCs w:val="24"/>
          <w:lang w:val="en-US"/>
        </w:rPr>
        <w:footnoteReference w:id="149"/>
      </w:r>
      <w:r w:rsidR="00AD4021" w:rsidRPr="00D723FF">
        <w:rPr>
          <w:rFonts w:cs="Times New Roman"/>
          <w:iCs/>
          <w:szCs w:val="24"/>
          <w:lang w:val="en-US"/>
        </w:rPr>
        <w:t xml:space="preserve"> </w:t>
      </w:r>
      <w:r w:rsidR="0063689F" w:rsidRPr="00D723FF">
        <w:rPr>
          <w:rFonts w:cs="Times New Roman"/>
          <w:iCs/>
          <w:szCs w:val="24"/>
          <w:lang w:val="en-US"/>
        </w:rPr>
        <w:t>However,</w:t>
      </w:r>
      <w:r w:rsidR="00AD4021" w:rsidRPr="00D723FF">
        <w:rPr>
          <w:rFonts w:cs="Times New Roman"/>
          <w:iCs/>
          <w:szCs w:val="24"/>
          <w:lang w:val="en-US"/>
        </w:rPr>
        <w:t xml:space="preserve"> the ICJ did </w:t>
      </w:r>
      <w:proofErr w:type="spellStart"/>
      <w:r w:rsidR="00AD4021" w:rsidRPr="00D723FF">
        <w:rPr>
          <w:rFonts w:cs="Times New Roman"/>
          <w:iCs/>
          <w:szCs w:val="24"/>
          <w:lang w:val="en-US"/>
        </w:rPr>
        <w:t>recognise</w:t>
      </w:r>
      <w:proofErr w:type="spellEnd"/>
      <w:r w:rsidR="00AD4021" w:rsidRPr="00D723FF">
        <w:rPr>
          <w:rFonts w:cs="Times New Roman"/>
          <w:iCs/>
          <w:szCs w:val="24"/>
          <w:lang w:val="en-US"/>
        </w:rPr>
        <w:t xml:space="preserve"> that certain acts committed during the conflict could fall within Article II(a) and (b) of the Convention, including killings and the causing of serious bodily or mental harm.</w:t>
      </w:r>
      <w:r w:rsidR="00AD4021" w:rsidRPr="00D723FF">
        <w:rPr>
          <w:rStyle w:val="Voetnootmarkering"/>
          <w:rFonts w:cs="Times New Roman"/>
          <w:iCs/>
          <w:szCs w:val="24"/>
          <w:lang w:val="en-US"/>
        </w:rPr>
        <w:footnoteReference w:id="150"/>
      </w:r>
      <w:r w:rsidR="00901996">
        <w:rPr>
          <w:rFonts w:cs="Times New Roman"/>
          <w:iCs/>
          <w:szCs w:val="24"/>
          <w:lang w:val="en-US"/>
        </w:rPr>
        <w:tab/>
      </w:r>
      <w:r w:rsidR="00901996">
        <w:rPr>
          <w:rFonts w:cs="Times New Roman"/>
          <w:iCs/>
          <w:szCs w:val="24"/>
          <w:lang w:val="en-US"/>
        </w:rPr>
        <w:br/>
      </w:r>
    </w:p>
    <w:p w14:paraId="4AECC5A8" w14:textId="3E5E6DC4" w:rsidR="00607755" w:rsidRPr="00C7415B" w:rsidRDefault="002341DC" w:rsidP="00C7415B">
      <w:pPr>
        <w:spacing w:line="360" w:lineRule="auto"/>
        <w:jc w:val="both"/>
        <w:rPr>
          <w:rFonts w:eastAsiaTheme="minorHAnsi"/>
          <w:i/>
          <w:lang w:eastAsia="en-US"/>
        </w:rPr>
      </w:pPr>
      <w:r w:rsidRPr="00F43766">
        <w:rPr>
          <w:rFonts w:eastAsiaTheme="minorHAnsi"/>
          <w:lang w:val="en-US" w:eastAsia="en-US"/>
        </w:rPr>
        <w:t>Applied to environmental destruction, this means that the destruction of water systems, agricultural land, ecosystems, or other indispensable resources will not automatically constitute genocide</w:t>
      </w:r>
      <w:r w:rsidRPr="00D723FF">
        <w:rPr>
          <w:rFonts w:eastAsiaTheme="minorHAnsi"/>
          <w:lang w:val="en-US" w:eastAsia="en-US"/>
        </w:rPr>
        <w:t xml:space="preserve"> merely because it causes large-scale humanitarian suffering. Such conduct will only fall within Article II(c) where it forms</w:t>
      </w:r>
      <w:r w:rsidRPr="00D723FF">
        <w:rPr>
          <w:rFonts w:eastAsiaTheme="minorHAnsi"/>
          <w:lang w:eastAsia="en-US"/>
        </w:rPr>
        <w:t xml:space="preserve"> part of a process </w:t>
      </w:r>
      <w:proofErr w:type="spellStart"/>
      <w:r w:rsidRPr="00D723FF">
        <w:rPr>
          <w:rFonts w:eastAsiaTheme="minorHAnsi"/>
          <w:lang w:eastAsia="en-US"/>
        </w:rPr>
        <w:t>aimed</w:t>
      </w:r>
      <w:proofErr w:type="spellEnd"/>
      <w:r w:rsidRPr="00D723FF">
        <w:rPr>
          <w:rFonts w:eastAsiaTheme="minorHAnsi"/>
          <w:lang w:eastAsia="en-US"/>
        </w:rPr>
        <w:t xml:space="preserve"> at the </w:t>
      </w:r>
      <w:proofErr w:type="spellStart"/>
      <w:r w:rsidRPr="00D723FF">
        <w:rPr>
          <w:rFonts w:eastAsiaTheme="minorHAnsi"/>
          <w:lang w:eastAsia="en-US"/>
        </w:rPr>
        <w:t>physical</w:t>
      </w:r>
      <w:proofErr w:type="spellEnd"/>
      <w:r w:rsidRPr="00D723FF">
        <w:rPr>
          <w:rFonts w:eastAsiaTheme="minorHAnsi"/>
          <w:lang w:eastAsia="en-US"/>
        </w:rPr>
        <w:t xml:space="preserve"> destruction of the </w:t>
      </w:r>
      <w:proofErr w:type="spellStart"/>
      <w:r w:rsidRPr="00D723FF">
        <w:rPr>
          <w:rFonts w:eastAsiaTheme="minorHAnsi"/>
          <w:lang w:eastAsia="en-US"/>
        </w:rPr>
        <w:t>protected</w:t>
      </w:r>
      <w:proofErr w:type="spellEnd"/>
      <w:r w:rsidRPr="00D723FF">
        <w:rPr>
          <w:rFonts w:eastAsiaTheme="minorHAnsi"/>
          <w:lang w:eastAsia="en-US"/>
        </w:rPr>
        <w:t xml:space="preserve"> group </w:t>
      </w:r>
      <w:proofErr w:type="spellStart"/>
      <w:r w:rsidRPr="00D723FF">
        <w:rPr>
          <w:rFonts w:eastAsiaTheme="minorHAnsi"/>
          <w:lang w:eastAsia="en-US"/>
        </w:rPr>
        <w:t>itself</w:t>
      </w:r>
      <w:proofErr w:type="spellEnd"/>
      <w:r w:rsidRPr="00D723FF">
        <w:rPr>
          <w:rFonts w:eastAsiaTheme="minorHAnsi"/>
          <w:lang w:eastAsia="en-US"/>
        </w:rPr>
        <w:t>.</w:t>
      </w:r>
      <w:r w:rsidRPr="00D723FF">
        <w:rPr>
          <w:rFonts w:eastAsiaTheme="minorHAnsi"/>
          <w:i/>
          <w:lang w:eastAsia="en-US"/>
        </w:rPr>
        <w:tab/>
      </w:r>
      <w:r w:rsidRPr="00D723FF">
        <w:rPr>
          <w:rFonts w:eastAsiaTheme="minorHAnsi"/>
          <w:i/>
          <w:lang w:eastAsia="en-US"/>
        </w:rPr>
        <w:br/>
      </w:r>
    </w:p>
    <w:p w14:paraId="611509F2" w14:textId="6D04E5F4" w:rsidR="00607755" w:rsidRPr="00D723FF" w:rsidRDefault="00F55957" w:rsidP="00D723FF">
      <w:pPr>
        <w:pStyle w:val="Kop3"/>
        <w:spacing w:line="360" w:lineRule="auto"/>
        <w:jc w:val="both"/>
        <w:rPr>
          <w:rFonts w:cs="Times New Roman"/>
        </w:rPr>
      </w:pPr>
      <w:bookmarkStart w:id="30" w:name="_Toc230376205"/>
      <w:r w:rsidRPr="00D723FF">
        <w:rPr>
          <w:rStyle w:val="Zwaar"/>
          <w:rFonts w:cs="Times New Roman"/>
          <w:b w:val="0"/>
          <w:bCs w:val="0"/>
        </w:rPr>
        <w:t>3</w:t>
      </w:r>
      <w:r w:rsidR="00A676BF" w:rsidRPr="00D723FF">
        <w:rPr>
          <w:rStyle w:val="Zwaar"/>
          <w:rFonts w:cs="Times New Roman"/>
          <w:b w:val="0"/>
          <w:bCs w:val="0"/>
        </w:rPr>
        <w:t>.3.</w:t>
      </w:r>
      <w:r w:rsidR="004F2020" w:rsidRPr="00D723FF">
        <w:rPr>
          <w:rStyle w:val="Zwaar"/>
          <w:rFonts w:cs="Times New Roman"/>
          <w:b w:val="0"/>
          <w:bCs w:val="0"/>
        </w:rPr>
        <w:t>5</w:t>
      </w:r>
      <w:r w:rsidR="00A676BF" w:rsidRPr="00D723FF">
        <w:rPr>
          <w:rStyle w:val="Zwaar"/>
          <w:rFonts w:cs="Times New Roman"/>
          <w:b w:val="0"/>
          <w:bCs w:val="0"/>
        </w:rPr>
        <w:t xml:space="preserve">. Limits for </w:t>
      </w:r>
      <w:proofErr w:type="spellStart"/>
      <w:r w:rsidR="00A676BF" w:rsidRPr="00D723FF">
        <w:rPr>
          <w:rStyle w:val="Zwaar"/>
          <w:rFonts w:cs="Times New Roman"/>
          <w:b w:val="0"/>
          <w:bCs w:val="0"/>
        </w:rPr>
        <w:t>environmental</w:t>
      </w:r>
      <w:proofErr w:type="spellEnd"/>
      <w:r w:rsidR="00A676BF" w:rsidRPr="00D723FF">
        <w:rPr>
          <w:rStyle w:val="Zwaar"/>
          <w:rFonts w:cs="Times New Roman"/>
          <w:b w:val="0"/>
          <w:bCs w:val="0"/>
        </w:rPr>
        <w:t xml:space="preserve"> destruction</w:t>
      </w:r>
      <w:bookmarkEnd w:id="30"/>
      <w:r w:rsidR="002341DC" w:rsidRPr="00D723FF">
        <w:rPr>
          <w:rStyle w:val="Zwaar"/>
          <w:rFonts w:cs="Times New Roman"/>
          <w:b w:val="0"/>
          <w:bCs w:val="0"/>
        </w:rPr>
        <w:tab/>
      </w:r>
    </w:p>
    <w:p w14:paraId="1D308CAB" w14:textId="5960918B" w:rsidR="007A2066" w:rsidRPr="00C7415B" w:rsidRDefault="006F77AA" w:rsidP="00D723FF">
      <w:pPr>
        <w:pStyle w:val="Normaalweb"/>
        <w:spacing w:line="360" w:lineRule="auto"/>
        <w:jc w:val="both"/>
        <w:rPr>
          <w:rFonts w:cs="Times New Roman"/>
        </w:rPr>
      </w:pPr>
      <w:r w:rsidRPr="00D723FF">
        <w:rPr>
          <w:rFonts w:cs="Times New Roman"/>
        </w:rPr>
        <w:t>As the jurisprudence discussed above demonstrates, international courts and tribunals have approached indirect forms of destruction under Article II(c) in different ways. Despite these different approaches, the threshold applied in the case law remains consistently high.</w:t>
      </w:r>
      <w:r w:rsidR="00AB63BC" w:rsidRPr="00D723FF">
        <w:rPr>
          <w:rStyle w:val="Voetnootmarkering"/>
          <w:rFonts w:cs="Times New Roman"/>
        </w:rPr>
        <w:footnoteReference w:id="151"/>
      </w:r>
      <w:r w:rsidRPr="00D723FF">
        <w:rPr>
          <w:rFonts w:cs="Times New Roman"/>
        </w:rPr>
        <w:t xml:space="preserve"> </w:t>
      </w:r>
      <w:r w:rsidRPr="00D723FF">
        <w:rPr>
          <w:rFonts w:cs="Times New Roman"/>
        </w:rPr>
        <w:lastRenderedPageBreak/>
        <w:t>Environmental destruction, displacement, destruction of property, or severe humanitarian suffering will not in themselves suffice to establish genocide.</w:t>
      </w:r>
      <w:r w:rsidR="00AB63BC" w:rsidRPr="00D723FF">
        <w:rPr>
          <w:rStyle w:val="Voetnootmarkering"/>
          <w:rFonts w:cs="Times New Roman"/>
        </w:rPr>
        <w:footnoteReference w:id="152"/>
      </w:r>
      <w:r w:rsidR="00063A39">
        <w:rPr>
          <w:rFonts w:cs="Times New Roman"/>
        </w:rPr>
        <w:tab/>
      </w:r>
      <w:r w:rsidR="00607755" w:rsidRPr="00D723FF">
        <w:rPr>
          <w:rFonts w:cs="Times New Roman"/>
        </w:rPr>
        <w:br/>
      </w:r>
      <w:r w:rsidR="00607755" w:rsidRPr="00D723FF">
        <w:rPr>
          <w:rFonts w:cs="Times New Roman"/>
        </w:rPr>
        <w:br/>
      </w:r>
      <w:r w:rsidR="00AB63BC" w:rsidRPr="00D723FF">
        <w:rPr>
          <w:rFonts w:cs="Times New Roman"/>
        </w:rPr>
        <w:t xml:space="preserve">The jurisprudence also </w:t>
      </w:r>
      <w:r w:rsidR="0063689F" w:rsidRPr="00D723FF">
        <w:rPr>
          <w:rFonts w:cs="Times New Roman"/>
        </w:rPr>
        <w:t>demonstrates</w:t>
      </w:r>
      <w:r w:rsidR="00AB63BC" w:rsidRPr="00D723FF">
        <w:rPr>
          <w:rFonts w:cs="Times New Roman"/>
        </w:rPr>
        <w:t xml:space="preserve"> that the assessment of indirect destruction is closely connected to the question whether the conduct forms part of a process aimed at the destruction of the protected group itself.</w:t>
      </w:r>
      <w:r w:rsidR="00292979" w:rsidRPr="00D723FF">
        <w:rPr>
          <w:rStyle w:val="Voetnootmarkering"/>
          <w:rFonts w:cs="Times New Roman"/>
        </w:rPr>
        <w:footnoteReference w:id="153"/>
      </w:r>
      <w:r w:rsidR="00292979" w:rsidRPr="00D723FF">
        <w:rPr>
          <w:rFonts w:cs="Times New Roman"/>
        </w:rPr>
        <w:t xml:space="preserve"> In many of the cases discussed above, the decisive issue was ultimately not only the destructive conduct itself, but whether the required genocidal intent accompanying that conduct could be established</w:t>
      </w:r>
      <w:r w:rsidR="00871DB0" w:rsidRPr="00D723FF">
        <w:rPr>
          <w:rFonts w:cs="Times New Roman"/>
        </w:rPr>
        <w:t>.</w:t>
      </w:r>
      <w:r w:rsidR="00871DB0" w:rsidRPr="00D723FF">
        <w:rPr>
          <w:rStyle w:val="Voetnootmarkering"/>
          <w:rFonts w:cs="Times New Roman"/>
        </w:rPr>
        <w:footnoteReference w:id="154"/>
      </w:r>
      <w:r w:rsidR="00607755" w:rsidRPr="00D723FF">
        <w:rPr>
          <w:rFonts w:cs="Times New Roman"/>
        </w:rPr>
        <w:tab/>
      </w:r>
      <w:r w:rsidR="00607755" w:rsidRPr="00D723FF">
        <w:rPr>
          <w:rFonts w:cs="Times New Roman"/>
        </w:rPr>
        <w:br/>
      </w:r>
      <w:r w:rsidR="00607755" w:rsidRPr="00D723FF">
        <w:rPr>
          <w:rFonts w:cs="Times New Roman"/>
        </w:rPr>
        <w:br/>
      </w:r>
      <w:r w:rsidR="00D647C5" w:rsidRPr="00D723FF">
        <w:rPr>
          <w:rFonts w:cs="Times New Roman"/>
        </w:rPr>
        <w:t>So for environmental destruction, this means that ecological harm will only fall within Article II(c) where the destruction of resources is used as a method contributing to the physical destruction of the protected group itself.</w:t>
      </w:r>
      <w:r w:rsidR="00D647C5" w:rsidRPr="00D723FF">
        <w:rPr>
          <w:rStyle w:val="Voetnootmarkering"/>
          <w:rFonts w:cs="Times New Roman"/>
        </w:rPr>
        <w:footnoteReference w:id="155"/>
      </w:r>
      <w:r w:rsidR="00C07635" w:rsidRPr="00D723FF">
        <w:rPr>
          <w:rFonts w:cs="Times New Roman"/>
        </w:rPr>
        <w:tab/>
      </w:r>
      <w:r w:rsidR="00D83E2B" w:rsidRPr="00D723FF">
        <w:rPr>
          <w:rFonts w:cs="Times New Roman"/>
        </w:rPr>
        <w:br/>
      </w:r>
      <w:r w:rsidR="00C03BB4" w:rsidRPr="00D723FF">
        <w:rPr>
          <w:rFonts w:cs="Times New Roman"/>
          <w:lang w:val="en-US"/>
        </w:rPr>
        <w:br/>
      </w:r>
      <w:r w:rsidR="00F55957" w:rsidRPr="00D723FF">
        <w:rPr>
          <w:rStyle w:val="Kop2Char"/>
          <w:rFonts w:ascii="Times New Roman" w:hAnsi="Times New Roman" w:cs="Times New Roman"/>
          <w:lang w:val="en-US"/>
        </w:rPr>
        <w:t>3</w:t>
      </w:r>
      <w:r w:rsidR="00C03BB4" w:rsidRPr="00D723FF">
        <w:rPr>
          <w:rStyle w:val="Kop2Char"/>
          <w:rFonts w:ascii="Times New Roman" w:hAnsi="Times New Roman" w:cs="Times New Roman"/>
          <w:lang w:val="en-US"/>
        </w:rPr>
        <w:t>.4 Interim Conclusion</w:t>
      </w:r>
      <w:r w:rsidR="00093AF1" w:rsidRPr="00D723FF">
        <w:rPr>
          <w:rStyle w:val="Kop2Char"/>
          <w:rFonts w:ascii="Times New Roman" w:hAnsi="Times New Roman" w:cs="Times New Roman"/>
          <w:lang w:val="en-US"/>
        </w:rPr>
        <w:tab/>
      </w:r>
      <w:r w:rsidR="00093AF1" w:rsidRPr="00D723FF">
        <w:rPr>
          <w:rFonts w:cs="Times New Roman"/>
          <w:lang w:val="en-US"/>
        </w:rPr>
        <w:br/>
      </w:r>
      <w:r w:rsidR="007A2066" w:rsidRPr="00D723FF">
        <w:rPr>
          <w:rFonts w:eastAsia="Times New Roman" w:cs="Times New Roman"/>
          <w:szCs w:val="24"/>
          <w:lang w:eastAsia="nl-NL"/>
        </w:rPr>
        <w:t xml:space="preserve">The interpretation of Article II(c) demonstrates that the Genocide Convention </w:t>
      </w:r>
      <w:proofErr w:type="gramStart"/>
      <w:r w:rsidR="007A2066" w:rsidRPr="00D723FF">
        <w:rPr>
          <w:rFonts w:eastAsia="Times New Roman" w:cs="Times New Roman"/>
          <w:szCs w:val="24"/>
          <w:lang w:eastAsia="nl-NL"/>
        </w:rPr>
        <w:t>is capable of encompassing</w:t>
      </w:r>
      <w:proofErr w:type="gramEnd"/>
      <w:r w:rsidR="007A2066" w:rsidRPr="00D723FF">
        <w:rPr>
          <w:rFonts w:eastAsia="Times New Roman" w:cs="Times New Roman"/>
          <w:szCs w:val="24"/>
          <w:lang w:eastAsia="nl-NL"/>
        </w:rPr>
        <w:t xml:space="preserve"> indirect methods of destruction, including conduct affecting the conditions necessary for the survival of a protected group. Through the interpretative framework of the VCLT and the subsequent jurisprudence of international courts and tribunals, the notion of “conditions of life” has gradually been understood to include more than direct killing alone.</w:t>
      </w:r>
    </w:p>
    <w:p w14:paraId="6A912AA6" w14:textId="499C5801" w:rsidR="007A2066" w:rsidRPr="00D723FF" w:rsidRDefault="0063689F" w:rsidP="00D723FF">
      <w:pPr>
        <w:pStyle w:val="Normaalweb"/>
        <w:spacing w:line="360" w:lineRule="auto"/>
        <w:jc w:val="both"/>
        <w:rPr>
          <w:rFonts w:cs="Times New Roman"/>
          <w:lang w:eastAsia="nl-NL"/>
        </w:rPr>
      </w:pPr>
      <w:r w:rsidRPr="00D723FF">
        <w:rPr>
          <w:rFonts w:cs="Times New Roman"/>
          <w:lang w:eastAsia="nl-NL"/>
        </w:rPr>
        <w:t>Subsequently</w:t>
      </w:r>
      <w:r w:rsidR="007A2066" w:rsidRPr="00D723FF">
        <w:rPr>
          <w:rFonts w:cs="Times New Roman"/>
          <w:lang w:eastAsia="nl-NL"/>
        </w:rPr>
        <w:t xml:space="preserve">, the case law also demonstrates that limits remain. International courts and tribunals have consistently required a close connection between the destructive conduct and the </w:t>
      </w:r>
      <w:r w:rsidR="007A2066" w:rsidRPr="00D723FF">
        <w:rPr>
          <w:rFonts w:cs="Times New Roman"/>
          <w:lang w:eastAsia="nl-NL"/>
        </w:rPr>
        <w:lastRenderedPageBreak/>
        <w:t>physical destruction of the protected group itself. As a result, environmental destruction, humanitarian suffering, forced displacement, or destruction of property will not automatically amount to genocide merely because they produce severe consequences for civilian populations.</w:t>
      </w:r>
    </w:p>
    <w:p w14:paraId="546BC2D1" w14:textId="2999FA12" w:rsidR="000277AC" w:rsidRPr="00D723FF" w:rsidRDefault="007A2066" w:rsidP="00D723FF">
      <w:pPr>
        <w:pStyle w:val="Normaalweb"/>
        <w:spacing w:line="360" w:lineRule="auto"/>
        <w:jc w:val="both"/>
        <w:rPr>
          <w:rFonts w:cs="Times New Roman"/>
          <w:lang w:eastAsia="nl-NL"/>
        </w:rPr>
      </w:pPr>
      <w:r w:rsidRPr="00D723FF">
        <w:rPr>
          <w:rFonts w:cs="Times New Roman"/>
          <w:lang w:eastAsia="nl-NL"/>
        </w:rPr>
        <w:t>The jurisprudence further illustrates that the assessment of indirect destruction under Article II(c) is closely intertwined with the requirement of specific intent. While courts have recognised that deprivation of food, water, shelter, medical care, or habitable land may contribute to the destruction of a group, the decisive question remains whether such conduct forms part of a broader process directed at the destruction of the protected group as such.</w:t>
      </w:r>
    </w:p>
    <w:p w14:paraId="20CABECD" w14:textId="77777777" w:rsidR="000277AC" w:rsidRPr="00D723FF" w:rsidRDefault="000277AC" w:rsidP="00D723FF">
      <w:pPr>
        <w:spacing w:line="360" w:lineRule="auto"/>
      </w:pPr>
    </w:p>
    <w:p w14:paraId="56DA4A90" w14:textId="5C36AFAF" w:rsidR="00D83E2B" w:rsidRPr="00D723FF" w:rsidRDefault="00272668" w:rsidP="00D723FF">
      <w:pPr>
        <w:pStyle w:val="Kop1"/>
        <w:spacing w:line="360" w:lineRule="auto"/>
        <w:rPr>
          <w:rFonts w:ascii="Times New Roman" w:hAnsi="Times New Roman" w:cs="Times New Roman"/>
          <w:lang w:val="en-US"/>
        </w:rPr>
      </w:pPr>
      <w:bookmarkStart w:id="31" w:name="_Toc230376206"/>
      <w:r w:rsidRPr="00D723FF">
        <w:rPr>
          <w:rFonts w:ascii="Times New Roman" w:hAnsi="Times New Roman" w:cs="Times New Roman"/>
          <w:lang w:val="en-US"/>
        </w:rPr>
        <w:t xml:space="preserve">Chapter </w:t>
      </w:r>
      <w:r w:rsidR="00D83E2B" w:rsidRPr="00D723FF">
        <w:rPr>
          <w:rFonts w:ascii="Times New Roman" w:hAnsi="Times New Roman" w:cs="Times New Roman"/>
          <w:lang w:val="en-US"/>
        </w:rPr>
        <w:t>4</w:t>
      </w:r>
      <w:r w:rsidRPr="00D723FF">
        <w:rPr>
          <w:rFonts w:ascii="Times New Roman" w:hAnsi="Times New Roman" w:cs="Times New Roman"/>
          <w:lang w:val="en-US"/>
        </w:rPr>
        <w:t xml:space="preserve">. </w:t>
      </w:r>
      <w:r w:rsidR="00D83E2B" w:rsidRPr="00D723FF">
        <w:rPr>
          <w:rFonts w:ascii="Times New Roman" w:hAnsi="Times New Roman" w:cs="Times New Roman"/>
          <w:lang w:val="en-US"/>
        </w:rPr>
        <w:t>Applying Article II(c) to Environmental Destruction</w:t>
      </w:r>
      <w:bookmarkEnd w:id="31"/>
    </w:p>
    <w:p w14:paraId="72FED907" w14:textId="53EBAF93" w:rsidR="00D83E2B" w:rsidRPr="00D723FF" w:rsidRDefault="00D83E2B" w:rsidP="00D723FF">
      <w:pPr>
        <w:pStyle w:val="Kop2"/>
        <w:spacing w:line="360" w:lineRule="auto"/>
        <w:jc w:val="both"/>
        <w:rPr>
          <w:rStyle w:val="Kop2Char"/>
          <w:rFonts w:ascii="Times New Roman" w:hAnsi="Times New Roman" w:cs="Times New Roman"/>
          <w:lang w:val="en-US" w:eastAsia="nl-NL"/>
        </w:rPr>
      </w:pPr>
      <w:bookmarkStart w:id="32" w:name="_Toc230376207"/>
      <w:r w:rsidRPr="00D723FF">
        <w:rPr>
          <w:rStyle w:val="Kop2Char"/>
          <w:rFonts w:ascii="Times New Roman" w:hAnsi="Times New Roman" w:cs="Times New Roman"/>
          <w:lang w:val="en-US" w:eastAsia="nl-NL"/>
        </w:rPr>
        <w:t>4.1 Introduction</w:t>
      </w:r>
      <w:bookmarkEnd w:id="32"/>
    </w:p>
    <w:p w14:paraId="7C76A16D" w14:textId="25ED165F" w:rsidR="00C77FFD" w:rsidRPr="00D723FF" w:rsidRDefault="00F55957" w:rsidP="00D723FF">
      <w:pPr>
        <w:spacing w:line="360" w:lineRule="auto"/>
        <w:jc w:val="both"/>
        <w:rPr>
          <w:rFonts w:eastAsiaTheme="minorHAnsi"/>
          <w:szCs w:val="22"/>
          <w:lang w:val="en-US" w:eastAsia="nl-NL"/>
        </w:rPr>
      </w:pPr>
      <w:r w:rsidRPr="00D723FF">
        <w:rPr>
          <w:rFonts w:eastAsiaTheme="minorHAnsi"/>
          <w:szCs w:val="22"/>
          <w:lang w:val="nl-BE" w:eastAsia="nl-NL"/>
        </w:rPr>
        <w:t xml:space="preserve">The previous chapters examined the legal framework governing genocide, the concept of environmental destruction under international law, and the interpretation of Article II(c) of the Genocide Convention. Building upon this analysis, this chapter applies these elements in order to determine under which conditions environmental destruction may fall within the definition of </w:t>
      </w:r>
      <w:r w:rsidRPr="00D723FF">
        <w:rPr>
          <w:rFonts w:eastAsiaTheme="minorHAnsi"/>
          <w:szCs w:val="22"/>
          <w:lang w:val="en-US" w:eastAsia="nl-NL"/>
        </w:rPr>
        <w:t>genocide.</w:t>
      </w:r>
      <w:r w:rsidR="00607755" w:rsidRPr="00D723FF">
        <w:rPr>
          <w:rFonts w:eastAsiaTheme="minorHAnsi"/>
          <w:szCs w:val="22"/>
          <w:lang w:val="en-US" w:eastAsia="nl-NL"/>
        </w:rPr>
        <w:br/>
      </w:r>
    </w:p>
    <w:p w14:paraId="40F8B839" w14:textId="47095ADB" w:rsidR="000277AC" w:rsidRPr="00D723FF" w:rsidRDefault="00C77FFD" w:rsidP="00D723FF">
      <w:pPr>
        <w:spacing w:line="360" w:lineRule="auto"/>
        <w:jc w:val="both"/>
        <w:rPr>
          <w:lang w:val="en-US" w:eastAsia="en-US"/>
        </w:rPr>
      </w:pPr>
      <w:r w:rsidRPr="00D723FF">
        <w:rPr>
          <w:lang w:val="en-US"/>
        </w:rPr>
        <w:t xml:space="preserve">The following sections apply these elements cumulatively and in a logical sequence. The analysis first examines whether environmental destruction exists at all, before assessing whether such destruction affects conditions of life within the meaning of Article II(c). It then evaluates whether the threshold of physical destruction is reached, whether the conduct is directed against a protected group, and finally whether the required </w:t>
      </w:r>
      <w:r w:rsidRPr="00D723FF">
        <w:rPr>
          <w:i/>
          <w:iCs/>
          <w:lang w:val="en-US"/>
        </w:rPr>
        <w:t xml:space="preserve">dolus </w:t>
      </w:r>
      <w:proofErr w:type="spellStart"/>
      <w:r w:rsidRPr="00D723FF">
        <w:rPr>
          <w:i/>
          <w:iCs/>
          <w:lang w:val="en-US"/>
        </w:rPr>
        <w:t>specialis</w:t>
      </w:r>
      <w:proofErr w:type="spellEnd"/>
      <w:r w:rsidRPr="00D723FF">
        <w:rPr>
          <w:lang w:val="en-US"/>
        </w:rPr>
        <w:t xml:space="preserve"> can be established. This structure reflects the cumulative nature of the constitutive elements of genocide under international law.</w:t>
      </w:r>
    </w:p>
    <w:p w14:paraId="09417FA6" w14:textId="77777777" w:rsidR="000277AC" w:rsidRPr="00D723FF" w:rsidRDefault="000277AC" w:rsidP="00D723FF">
      <w:pPr>
        <w:spacing w:line="360" w:lineRule="auto"/>
        <w:jc w:val="both"/>
        <w:rPr>
          <w:lang w:val="nl-BE" w:eastAsia="en-US"/>
        </w:rPr>
      </w:pPr>
    </w:p>
    <w:p w14:paraId="0999BF2C" w14:textId="77777777" w:rsidR="00A71B12" w:rsidRPr="00D723FF" w:rsidRDefault="00A71B12" w:rsidP="00D723FF">
      <w:pPr>
        <w:pStyle w:val="Kop2"/>
        <w:spacing w:line="360" w:lineRule="auto"/>
        <w:jc w:val="both"/>
        <w:rPr>
          <w:rStyle w:val="Kop2Char"/>
          <w:rFonts w:ascii="Times New Roman" w:hAnsi="Times New Roman" w:cs="Times New Roman"/>
          <w:lang w:val="en-US" w:eastAsia="nl-NL"/>
        </w:rPr>
      </w:pPr>
      <w:bookmarkStart w:id="33" w:name="_Toc230376208"/>
      <w:r w:rsidRPr="00D723FF">
        <w:rPr>
          <w:rStyle w:val="Kop2Char"/>
          <w:rFonts w:ascii="Times New Roman" w:hAnsi="Times New Roman" w:cs="Times New Roman"/>
          <w:lang w:val="en-US" w:eastAsia="nl-NL"/>
        </w:rPr>
        <w:lastRenderedPageBreak/>
        <w:t>4.2 Applying Article II(c) to Environmental Destruction</w:t>
      </w:r>
      <w:bookmarkEnd w:id="33"/>
    </w:p>
    <w:p w14:paraId="6A479E6C" w14:textId="68BC606E" w:rsidR="00A71B12" w:rsidRPr="004166B6" w:rsidRDefault="00A71B12" w:rsidP="004166B6">
      <w:pPr>
        <w:pStyle w:val="Kop3"/>
        <w:rPr>
          <w:rStyle w:val="Kop2Char"/>
          <w:rFonts w:ascii="Times New Roman" w:hAnsi="Times New Roman"/>
          <w:sz w:val="28"/>
          <w:szCs w:val="28"/>
        </w:rPr>
      </w:pPr>
      <w:bookmarkStart w:id="34" w:name="_Toc230376209"/>
      <w:r w:rsidRPr="004166B6">
        <w:rPr>
          <w:rStyle w:val="Kop2Char"/>
          <w:rFonts w:ascii="Times New Roman" w:hAnsi="Times New Roman"/>
          <w:sz w:val="28"/>
          <w:szCs w:val="28"/>
        </w:rPr>
        <w:t xml:space="preserve">4.2.1 </w:t>
      </w:r>
      <w:proofErr w:type="spellStart"/>
      <w:r w:rsidRPr="004166B6">
        <w:rPr>
          <w:rStyle w:val="Kop2Char"/>
          <w:rFonts w:ascii="Times New Roman" w:hAnsi="Times New Roman"/>
          <w:sz w:val="28"/>
          <w:szCs w:val="28"/>
        </w:rPr>
        <w:t>Step</w:t>
      </w:r>
      <w:proofErr w:type="spellEnd"/>
      <w:r w:rsidRPr="004166B6">
        <w:rPr>
          <w:rStyle w:val="Kop2Char"/>
          <w:rFonts w:ascii="Times New Roman" w:hAnsi="Times New Roman"/>
          <w:sz w:val="28"/>
          <w:szCs w:val="28"/>
        </w:rPr>
        <w:t xml:space="preserve"> 1: The existence of </w:t>
      </w:r>
      <w:proofErr w:type="spellStart"/>
      <w:r w:rsidRPr="004166B6">
        <w:rPr>
          <w:rStyle w:val="Kop2Char"/>
          <w:rFonts w:ascii="Times New Roman" w:hAnsi="Times New Roman"/>
          <w:sz w:val="28"/>
          <w:szCs w:val="28"/>
        </w:rPr>
        <w:t>environmental</w:t>
      </w:r>
      <w:proofErr w:type="spellEnd"/>
      <w:r w:rsidRPr="004166B6">
        <w:rPr>
          <w:rStyle w:val="Kop2Char"/>
          <w:rFonts w:ascii="Times New Roman" w:hAnsi="Times New Roman"/>
          <w:sz w:val="28"/>
          <w:szCs w:val="28"/>
        </w:rPr>
        <w:t xml:space="preserve"> destruction</w:t>
      </w:r>
      <w:bookmarkEnd w:id="34"/>
    </w:p>
    <w:p w14:paraId="4BDF9878" w14:textId="25670E08" w:rsidR="009D1208" w:rsidRPr="00D723FF" w:rsidRDefault="00C77FFD" w:rsidP="00D723FF">
      <w:pPr>
        <w:spacing w:line="360" w:lineRule="auto"/>
        <w:jc w:val="both"/>
      </w:pPr>
      <w:r w:rsidRPr="00D723FF">
        <w:rPr>
          <w:lang w:val="nl-BE" w:eastAsia="nl-NL"/>
        </w:rPr>
        <w:t xml:space="preserve">The first step is determining whether the conduct in question constitutes </w:t>
      </w:r>
      <w:r w:rsidR="00083624" w:rsidRPr="00D723FF">
        <w:rPr>
          <w:lang w:val="nl-BE" w:eastAsia="nl-NL"/>
        </w:rPr>
        <w:t>‘</w:t>
      </w:r>
      <w:r w:rsidRPr="00D723FF">
        <w:rPr>
          <w:lang w:val="nl-BE" w:eastAsia="nl-NL"/>
        </w:rPr>
        <w:t>environmental destruction</w:t>
      </w:r>
      <w:r w:rsidR="00083624" w:rsidRPr="00D723FF">
        <w:rPr>
          <w:lang w:val="nl-BE" w:eastAsia="nl-NL"/>
        </w:rPr>
        <w:t>’</w:t>
      </w:r>
      <w:r w:rsidRPr="00D723FF">
        <w:rPr>
          <w:lang w:val="nl-BE" w:eastAsia="nl-NL"/>
        </w:rPr>
        <w:t>. As discussed in Chapter 2, international law does not provide one universally accepted definition of environmental destruction. Nevertheless, the concept generally refers to the destruction, degradation, contamination, or deprivation of natural resources and ecosystems essential for human life and civilian survival.</w:t>
      </w:r>
      <w:r w:rsidRPr="00D723FF">
        <w:rPr>
          <w:rStyle w:val="Voetnootmarkering"/>
          <w:lang w:val="nl-BE" w:eastAsia="nl-NL"/>
        </w:rPr>
        <w:footnoteReference w:id="156"/>
      </w:r>
      <w:r w:rsidR="00EA0410" w:rsidRPr="00D723FF">
        <w:t xml:space="preserve"> </w:t>
      </w:r>
      <w:r w:rsidR="00607755" w:rsidRPr="00D723FF">
        <w:tab/>
      </w:r>
      <w:r w:rsidR="00607755" w:rsidRPr="00D723FF">
        <w:br/>
      </w:r>
      <w:r w:rsidR="00607755" w:rsidRPr="00D723FF">
        <w:br/>
      </w:r>
      <w:r w:rsidR="00EA0410" w:rsidRPr="00D723FF">
        <w:rPr>
          <w:lang w:val="en-US"/>
        </w:rPr>
        <w:t>In the context of armed conflict, environmental destruction may include the targeting or contamination of drinking water installations, agricultural land, food supplies, livestock, forests, ecosystems, or habitable territory indispensable to civilian survival.</w:t>
      </w:r>
      <w:r w:rsidR="00EA0410" w:rsidRPr="00D723FF">
        <w:rPr>
          <w:rStyle w:val="Voetnootmarkering"/>
          <w:lang w:val="en-US"/>
        </w:rPr>
        <w:footnoteReference w:id="157"/>
      </w:r>
      <w:r w:rsidR="00EA0410" w:rsidRPr="00D723FF">
        <w:rPr>
          <w:lang w:val="en-US"/>
        </w:rPr>
        <w:t xml:space="preserve"> Such destruction may occur directly through attacks on environmental resources themselves, or indirectly through military operations causing severe environmental degradation and long-term ecological consequences.</w:t>
      </w:r>
      <w:r w:rsidR="00A51C9D" w:rsidRPr="00D723FF">
        <w:rPr>
          <w:rStyle w:val="Voetnootmarkering"/>
          <w:lang w:val="en-US"/>
        </w:rPr>
        <w:footnoteReference w:id="158"/>
      </w:r>
      <w:r w:rsidR="00607755" w:rsidRPr="00D723FF">
        <w:br/>
      </w:r>
      <w:r w:rsidR="00607755" w:rsidRPr="00D723FF">
        <w:br/>
      </w:r>
      <w:r w:rsidR="009D1208" w:rsidRPr="00D723FF">
        <w:rPr>
          <w:lang w:val="nl-BE" w:eastAsia="nl-NL"/>
        </w:rPr>
        <w:t xml:space="preserve">The broad and often cumulative nature of environmental destruction is particularly relevant in the context of Article II(c) of the Genocide Convention. </w:t>
      </w:r>
      <w:proofErr w:type="spellStart"/>
      <w:r w:rsidR="00EE3A98" w:rsidRPr="00D723FF">
        <w:t>Unlike</w:t>
      </w:r>
      <w:proofErr w:type="spellEnd"/>
      <w:r w:rsidR="00EE3A98" w:rsidRPr="00D723FF">
        <w:t xml:space="preserve"> direct </w:t>
      </w:r>
      <w:proofErr w:type="spellStart"/>
      <w:r w:rsidR="00EE3A98" w:rsidRPr="00D723FF">
        <w:t>killing</w:t>
      </w:r>
      <w:proofErr w:type="spellEnd"/>
      <w:r w:rsidR="00EE3A98" w:rsidRPr="00D723FF">
        <w:t xml:space="preserve">, </w:t>
      </w:r>
      <w:proofErr w:type="spellStart"/>
      <w:r w:rsidR="00EE3A98" w:rsidRPr="00D723FF">
        <w:t>environmental</w:t>
      </w:r>
      <w:proofErr w:type="spellEnd"/>
      <w:r w:rsidR="00EE3A98" w:rsidRPr="00D723FF">
        <w:t xml:space="preserve"> destruction </w:t>
      </w:r>
      <w:proofErr w:type="spellStart"/>
      <w:r w:rsidR="00EE3A98" w:rsidRPr="00D723FF">
        <w:t>may</w:t>
      </w:r>
      <w:proofErr w:type="spellEnd"/>
      <w:r w:rsidR="00EE3A98" w:rsidRPr="00D723FF">
        <w:t xml:space="preserve"> </w:t>
      </w:r>
      <w:proofErr w:type="spellStart"/>
      <w:r w:rsidR="00EE3A98" w:rsidRPr="00D723FF">
        <w:t>contribute</w:t>
      </w:r>
      <w:proofErr w:type="spellEnd"/>
      <w:r w:rsidR="00EE3A98" w:rsidRPr="00D723FF">
        <w:t xml:space="preserve"> to the destruction of a group </w:t>
      </w:r>
      <w:proofErr w:type="spellStart"/>
      <w:r w:rsidR="00EE3A98" w:rsidRPr="00D723FF">
        <w:t>indirectly</w:t>
      </w:r>
      <w:proofErr w:type="spellEnd"/>
      <w:r w:rsidR="00EE3A98" w:rsidRPr="00D723FF">
        <w:t xml:space="preserve"> by </w:t>
      </w:r>
      <w:proofErr w:type="spellStart"/>
      <w:r w:rsidR="00EE3A98" w:rsidRPr="00D723FF">
        <w:t>undermining</w:t>
      </w:r>
      <w:proofErr w:type="spellEnd"/>
      <w:r w:rsidR="00EE3A98" w:rsidRPr="00D723FF">
        <w:t xml:space="preserve"> </w:t>
      </w:r>
      <w:proofErr w:type="spellStart"/>
      <w:r w:rsidR="00EE3A98" w:rsidRPr="00D723FF">
        <w:t>access</w:t>
      </w:r>
      <w:proofErr w:type="spellEnd"/>
      <w:r w:rsidR="00EE3A98" w:rsidRPr="00D723FF">
        <w:t xml:space="preserve"> to </w:t>
      </w:r>
      <w:r w:rsidR="00EE3A98" w:rsidRPr="00D723FF">
        <w:rPr>
          <w:lang w:val="en-US"/>
        </w:rPr>
        <w:t>resources necessary for survival</w:t>
      </w:r>
      <w:r w:rsidR="009D1208" w:rsidRPr="00D723FF">
        <w:rPr>
          <w:lang w:val="en-US" w:eastAsia="nl-NL"/>
        </w:rPr>
        <w:t>.</w:t>
      </w:r>
      <w:r w:rsidR="00EE3A98" w:rsidRPr="00D723FF">
        <w:rPr>
          <w:rStyle w:val="Voetnootmarkering"/>
          <w:lang w:val="en-US" w:eastAsia="nl-NL"/>
        </w:rPr>
        <w:footnoteReference w:id="159"/>
      </w:r>
      <w:r w:rsidR="009D1208" w:rsidRPr="00D723FF">
        <w:rPr>
          <w:lang w:val="en-US" w:eastAsia="nl-NL"/>
        </w:rPr>
        <w:t xml:space="preserve"> This may include the destruction of water systems, the contamination of land, the collapse of agricultural production, or the creation of conditions rendering territory uninhabitable for civilian populations.</w:t>
      </w:r>
      <w:r w:rsidR="00EE3A98" w:rsidRPr="00D723FF">
        <w:rPr>
          <w:rStyle w:val="Voetnootmarkering"/>
          <w:lang w:val="en-US" w:eastAsia="nl-NL"/>
        </w:rPr>
        <w:footnoteReference w:id="160"/>
      </w:r>
      <w:r w:rsidR="006D730A">
        <w:rPr>
          <w:lang w:val="en-US" w:eastAsia="nl-NL"/>
        </w:rPr>
        <w:tab/>
      </w:r>
      <w:r w:rsidR="00607755" w:rsidRPr="00D723FF">
        <w:br/>
      </w:r>
      <w:r w:rsidR="00607755" w:rsidRPr="00D723FF">
        <w:br/>
      </w:r>
      <w:r w:rsidR="0063689F" w:rsidRPr="00D723FF">
        <w:rPr>
          <w:lang w:val="en-US"/>
        </w:rPr>
        <w:lastRenderedPageBreak/>
        <w:t>However</w:t>
      </w:r>
      <w:r w:rsidR="007F5BD8" w:rsidRPr="00D723FF">
        <w:rPr>
          <w:lang w:val="en-US"/>
        </w:rPr>
        <w:t xml:space="preserve">, not every form of environmental harm is legally relevant under Article II(c). International humanitarian law traditionally associates environmental destruction with a particularly high threshold of harm, most notably through the concepts of </w:t>
      </w:r>
      <w:r w:rsidR="00E3287D" w:rsidRPr="00D723FF">
        <w:rPr>
          <w:lang w:val="en-US"/>
        </w:rPr>
        <w:t>‘</w:t>
      </w:r>
      <w:r w:rsidR="007F5BD8" w:rsidRPr="00D723FF">
        <w:rPr>
          <w:lang w:val="en-US"/>
        </w:rPr>
        <w:t>widespread</w:t>
      </w:r>
      <w:r w:rsidR="00E3287D" w:rsidRPr="00D723FF">
        <w:rPr>
          <w:lang w:val="en-US"/>
        </w:rPr>
        <w:t>’</w:t>
      </w:r>
      <w:r w:rsidR="007F5BD8" w:rsidRPr="00D723FF">
        <w:rPr>
          <w:lang w:val="en-US"/>
        </w:rPr>
        <w:t xml:space="preserve">, </w:t>
      </w:r>
      <w:r w:rsidR="00E3287D" w:rsidRPr="00D723FF">
        <w:rPr>
          <w:lang w:val="en-US"/>
        </w:rPr>
        <w:t>‘</w:t>
      </w:r>
      <w:r w:rsidR="007F5BD8" w:rsidRPr="00D723FF">
        <w:rPr>
          <w:lang w:val="en-US"/>
        </w:rPr>
        <w:t>long-term</w:t>
      </w:r>
      <w:r w:rsidR="00E3287D" w:rsidRPr="00D723FF">
        <w:rPr>
          <w:lang w:val="en-US"/>
        </w:rPr>
        <w:t>’</w:t>
      </w:r>
      <w:r w:rsidR="004A0842" w:rsidRPr="00D723FF">
        <w:rPr>
          <w:lang w:val="en-US"/>
        </w:rPr>
        <w:t xml:space="preserve"> (or ‘long lasting’)</w:t>
      </w:r>
      <w:r w:rsidR="007F5BD8" w:rsidRPr="00D723FF">
        <w:rPr>
          <w:lang w:val="en-US"/>
        </w:rPr>
        <w:t xml:space="preserve"> and </w:t>
      </w:r>
      <w:r w:rsidR="00E3287D" w:rsidRPr="00D723FF">
        <w:rPr>
          <w:lang w:val="en-US"/>
        </w:rPr>
        <w:t>‘</w:t>
      </w:r>
      <w:r w:rsidR="007F5BD8" w:rsidRPr="00D723FF">
        <w:rPr>
          <w:lang w:val="en-US"/>
        </w:rPr>
        <w:t>severe</w:t>
      </w:r>
      <w:r w:rsidR="00E3287D" w:rsidRPr="00D723FF">
        <w:rPr>
          <w:lang w:val="en-US"/>
        </w:rPr>
        <w:t>’</w:t>
      </w:r>
      <w:r w:rsidR="007F5BD8" w:rsidRPr="00D723FF">
        <w:rPr>
          <w:lang w:val="en-US"/>
        </w:rPr>
        <w:t xml:space="preserve"> damage contained in ENMOD and Additional Protocol I.</w:t>
      </w:r>
      <w:r w:rsidR="00EE3A98" w:rsidRPr="00D723FF">
        <w:rPr>
          <w:rStyle w:val="Voetnootmarkering"/>
          <w:lang w:val="en-US"/>
        </w:rPr>
        <w:footnoteReference w:id="161"/>
      </w:r>
      <w:r w:rsidR="007F5BD8" w:rsidRPr="00D723FF">
        <w:rPr>
          <w:lang w:val="en-US"/>
        </w:rPr>
        <w:t xml:space="preserve"> Although the precise interpretation </w:t>
      </w:r>
      <w:r w:rsidR="004A0842" w:rsidRPr="00D723FF">
        <w:rPr>
          <w:lang w:val="en-US"/>
        </w:rPr>
        <w:t xml:space="preserve">and wording </w:t>
      </w:r>
      <w:r w:rsidR="007F5BD8" w:rsidRPr="00D723FF">
        <w:rPr>
          <w:lang w:val="en-US"/>
        </w:rPr>
        <w:t>of these criteria remains debated</w:t>
      </w:r>
      <w:r w:rsidR="004A0842" w:rsidRPr="00D723FF">
        <w:rPr>
          <w:lang w:val="en-US"/>
        </w:rPr>
        <w:t xml:space="preserve"> (see </w:t>
      </w:r>
      <w:r w:rsidR="004A0842" w:rsidRPr="00D723FF">
        <w:rPr>
          <w:i/>
          <w:iCs/>
          <w:lang w:val="en-US"/>
        </w:rPr>
        <w:t xml:space="preserve">supra </w:t>
      </w:r>
      <w:r w:rsidR="004A0842" w:rsidRPr="00D723FF">
        <w:rPr>
          <w:lang w:val="en-US"/>
        </w:rPr>
        <w:t>Chapter)</w:t>
      </w:r>
      <w:r w:rsidR="007F5BD8" w:rsidRPr="00D723FF">
        <w:rPr>
          <w:lang w:val="en-US"/>
        </w:rPr>
        <w:t>, both treaty law and doctrinal analysis demonstrate that they were intended to apply only to exceptionally grave forms of environmental destruction.</w:t>
      </w:r>
      <w:r w:rsidR="004A0842" w:rsidRPr="00D723FF">
        <w:rPr>
          <w:rStyle w:val="Voetnootmarkering"/>
          <w:lang w:val="en-US"/>
        </w:rPr>
        <w:footnoteReference w:id="162"/>
      </w:r>
      <w:r w:rsidR="007F5BD8" w:rsidRPr="00D723FF">
        <w:rPr>
          <w:lang w:val="en-US"/>
        </w:rPr>
        <w:t xml:space="preserve"> Environmental damage may therefore arise as a collateral or indirect consequence of warfare without necessarily affecting the survival of a protected group or contributing to its destruction. The mere existence of environmental destruction is therefore insufficient </w:t>
      </w:r>
      <w:proofErr w:type="gramStart"/>
      <w:r w:rsidR="007F5BD8" w:rsidRPr="00D723FF">
        <w:rPr>
          <w:lang w:val="en-US"/>
        </w:rPr>
        <w:t>in itself to</w:t>
      </w:r>
      <w:proofErr w:type="gramEnd"/>
      <w:r w:rsidR="007F5BD8" w:rsidRPr="00D723FF">
        <w:rPr>
          <w:lang w:val="en-US"/>
        </w:rPr>
        <w:t xml:space="preserve"> establish genocidal conduct.</w:t>
      </w:r>
      <w:r w:rsidR="002432CF" w:rsidRPr="00D723FF">
        <w:rPr>
          <w:rStyle w:val="Voetnootmarkering"/>
          <w:lang w:val="en-US"/>
        </w:rPr>
        <w:footnoteReference w:id="163"/>
      </w:r>
    </w:p>
    <w:p w14:paraId="15B840A0" w14:textId="77777777" w:rsidR="00227541" w:rsidRPr="00D723FF" w:rsidRDefault="00227541" w:rsidP="00D723FF">
      <w:pPr>
        <w:spacing w:line="360" w:lineRule="auto"/>
        <w:jc w:val="both"/>
        <w:rPr>
          <w:lang w:val="en-US" w:eastAsia="nl-NL"/>
        </w:rPr>
      </w:pPr>
    </w:p>
    <w:p w14:paraId="2304D64F" w14:textId="2F48FBE5" w:rsidR="00C7415B" w:rsidRPr="004166B6" w:rsidRDefault="00A71B12" w:rsidP="006D730A">
      <w:pPr>
        <w:pStyle w:val="Plattetekst"/>
        <w:spacing w:line="360" w:lineRule="auto"/>
        <w:ind w:firstLine="708"/>
        <w:jc w:val="both"/>
        <w:rPr>
          <w:rStyle w:val="Kop2Char"/>
          <w:rFonts w:ascii="Times New Roman" w:hAnsi="Times New Roman" w:cs="Times New Roman"/>
          <w:color w:val="auto"/>
          <w:sz w:val="24"/>
          <w:szCs w:val="24"/>
          <w:lang w:val="en-US" w:eastAsia="en-US"/>
        </w:rPr>
      </w:pPr>
      <w:bookmarkStart w:id="35" w:name="_Toc230376210"/>
      <w:r w:rsidRPr="004166B6">
        <w:rPr>
          <w:rStyle w:val="Kop3Char"/>
        </w:rPr>
        <w:t xml:space="preserve">4.2.2 </w:t>
      </w:r>
      <w:proofErr w:type="spellStart"/>
      <w:r w:rsidRPr="004166B6">
        <w:rPr>
          <w:rStyle w:val="Kop3Char"/>
        </w:rPr>
        <w:t>Step</w:t>
      </w:r>
      <w:proofErr w:type="spellEnd"/>
      <w:r w:rsidRPr="004166B6">
        <w:rPr>
          <w:rStyle w:val="Kop3Char"/>
        </w:rPr>
        <w:t xml:space="preserve"> 2: The destruction must affect </w:t>
      </w:r>
      <w:r w:rsidR="004166B6" w:rsidRPr="004166B6">
        <w:rPr>
          <w:rStyle w:val="Kop3Char"/>
        </w:rPr>
        <w:t>‘</w:t>
      </w:r>
      <w:r w:rsidRPr="004166B6">
        <w:rPr>
          <w:rStyle w:val="Kop3Char"/>
        </w:rPr>
        <w:t>conditions of life</w:t>
      </w:r>
      <w:r w:rsidR="004166B6" w:rsidRPr="004166B6">
        <w:rPr>
          <w:rStyle w:val="Kop3Char"/>
        </w:rPr>
        <w:t>’</w:t>
      </w:r>
      <w:bookmarkEnd w:id="35"/>
      <w:r w:rsidR="004166B6">
        <w:rPr>
          <w:rStyle w:val="Kop3Char"/>
        </w:rPr>
        <w:tab/>
      </w:r>
      <w:r w:rsidR="00607755" w:rsidRPr="00D723FF">
        <w:br/>
      </w:r>
      <w:r w:rsidR="00227541" w:rsidRPr="00D723FF">
        <w:t>Once the existence of environmental destruction has been established, the next step is determining whether the destruction affects the “conditions of life” of a protected group within the meaning of Article II(c) of the Genocide Convention. In other words, the environmental destruction must go beyond environmental harm alone and affect the basic conditions necessary for the group’s survival.</w:t>
      </w:r>
      <w:r w:rsidR="00227541" w:rsidRPr="00D723FF">
        <w:rPr>
          <w:rStyle w:val="Voetnootmarkering"/>
          <w:lang w:eastAsia="nl-NL"/>
        </w:rPr>
        <w:footnoteReference w:id="164"/>
      </w:r>
      <w:r w:rsidR="006F1928" w:rsidRPr="00D723FF">
        <w:tab/>
      </w:r>
      <w:r w:rsidR="00607755" w:rsidRPr="00D723FF">
        <w:br/>
      </w:r>
      <w:r w:rsidR="00607755" w:rsidRPr="00D723FF">
        <w:br/>
      </w:r>
      <w:r w:rsidR="00927D51" w:rsidRPr="00D723FF">
        <w:t xml:space="preserve">In </w:t>
      </w:r>
      <w:proofErr w:type="spellStart"/>
      <w:r w:rsidR="00927D51" w:rsidRPr="00D723FF">
        <w:rPr>
          <w:i/>
          <w:iCs/>
        </w:rPr>
        <w:t>Akayesu</w:t>
      </w:r>
      <w:proofErr w:type="spellEnd"/>
      <w:r w:rsidR="00927D51" w:rsidRPr="00D723FF">
        <w:t>, the ICTR stated that Article II(c) may include subjecting a group to a subsistence diet, systematic expulsion from homes, or the denial of essential medical services below minimum requirements.</w:t>
      </w:r>
      <w:r w:rsidR="00927D51" w:rsidRPr="00D723FF">
        <w:rPr>
          <w:rStyle w:val="Voetnootmarkering"/>
          <w:lang w:eastAsia="nl-NL"/>
        </w:rPr>
        <w:footnoteReference w:id="165"/>
      </w:r>
      <w:r w:rsidR="00927D51" w:rsidRPr="00D723FF">
        <w:t xml:space="preserve"> Applied to environmental destruction, this may include situations in which the destruction or contamination of water systems, agricultural land, food supplies, or habitable territory deprives a protected group of access to resources indispensable for survival.</w:t>
      </w:r>
      <w:r w:rsidR="00927D51" w:rsidRPr="00D723FF">
        <w:rPr>
          <w:rStyle w:val="Voetnootmarkering"/>
          <w:lang w:eastAsia="nl-NL"/>
        </w:rPr>
        <w:footnoteReference w:id="166"/>
      </w:r>
      <w:r w:rsidR="00607755" w:rsidRPr="00D723FF">
        <w:br/>
      </w:r>
      <w:r w:rsidR="00607755" w:rsidRPr="00D723FF">
        <w:lastRenderedPageBreak/>
        <w:br/>
      </w:r>
      <w:r w:rsidR="00927D51" w:rsidRPr="00D723FF">
        <w:t xml:space="preserve">Similarly, in </w:t>
      </w:r>
      <w:r w:rsidR="00927D51" w:rsidRPr="00D723FF">
        <w:rPr>
          <w:i/>
          <w:iCs/>
        </w:rPr>
        <w:t>Al Bashir</w:t>
      </w:r>
      <w:r w:rsidR="00927D51" w:rsidRPr="00D723FF">
        <w:t>, the ICC referred to the poisoning of wells, the destruction of food sources, and the forcible displacement of civilian populations as conduct capable of contributing to destructive living conditions.</w:t>
      </w:r>
      <w:r w:rsidR="00927D51" w:rsidRPr="00D723FF">
        <w:rPr>
          <w:rStyle w:val="Voetnootmarkering"/>
          <w:lang w:eastAsia="nl-NL"/>
        </w:rPr>
        <w:footnoteReference w:id="167"/>
      </w:r>
      <w:r w:rsidR="00927D51" w:rsidRPr="00D723FF">
        <w:t xml:space="preserve"> Environmental destruction may therefore become relevant under Article II(c) where it creates living conditions that threaten the continued existence of the group over time.</w:t>
      </w:r>
      <w:r w:rsidR="00C7415B">
        <w:tab/>
      </w:r>
      <w:r w:rsidR="00C7415B" w:rsidRPr="004166B6">
        <w:rPr>
          <w:rStyle w:val="Kop2Char"/>
          <w:rFonts w:ascii="Times New Roman" w:hAnsi="Times New Roman" w:cs="Times New Roman"/>
          <w:color w:val="auto"/>
          <w:sz w:val="24"/>
          <w:szCs w:val="24"/>
          <w:lang w:val="en-US" w:eastAsia="en-US"/>
        </w:rPr>
        <w:tab/>
      </w:r>
      <w:r w:rsidR="00C7415B" w:rsidRPr="004166B6">
        <w:rPr>
          <w:rStyle w:val="Kop2Char"/>
          <w:rFonts w:ascii="Times New Roman" w:hAnsi="Times New Roman" w:cs="Times New Roman"/>
          <w:color w:val="auto"/>
          <w:sz w:val="24"/>
          <w:szCs w:val="24"/>
          <w:lang w:val="en-US" w:eastAsia="en-US"/>
        </w:rPr>
        <w:tab/>
      </w:r>
    </w:p>
    <w:p w14:paraId="6766E061" w14:textId="6C27E9B4" w:rsidR="006D730A" w:rsidRDefault="004166B6" w:rsidP="006D730A">
      <w:pPr>
        <w:pStyle w:val="Kop3"/>
        <w:rPr>
          <w:lang w:val="nl-BE" w:eastAsia="nl-NL"/>
        </w:rPr>
      </w:pPr>
      <w:r>
        <w:rPr>
          <w:lang w:val="nl-BE" w:eastAsia="nl-NL"/>
        </w:rPr>
        <w:br/>
      </w:r>
      <w:bookmarkStart w:id="36" w:name="_Toc230376211"/>
      <w:r w:rsidRPr="006D730A">
        <w:rPr>
          <w:lang w:val="nl-BE" w:eastAsia="nl-NL"/>
        </w:rPr>
        <w:t>4.2.3 Step 3: The threshold of physical destruction</w:t>
      </w:r>
      <w:bookmarkEnd w:id="36"/>
      <w:r w:rsidRPr="006D730A">
        <w:rPr>
          <w:lang w:val="nl-BE" w:eastAsia="nl-NL"/>
        </w:rPr>
        <w:tab/>
      </w:r>
    </w:p>
    <w:p w14:paraId="667C9F2D" w14:textId="03AC08EE" w:rsidR="00EF08D6" w:rsidRPr="00C7415B" w:rsidRDefault="00927D51" w:rsidP="00D723FF">
      <w:pPr>
        <w:spacing w:line="360" w:lineRule="auto"/>
        <w:jc w:val="both"/>
        <w:rPr>
          <w:lang w:val="en-US" w:eastAsia="nl-NL"/>
        </w:rPr>
      </w:pPr>
      <w:r w:rsidRPr="00D723FF">
        <w:rPr>
          <w:lang w:val="nl-BE" w:eastAsia="nl-NL"/>
        </w:rPr>
        <w:t>Once it has been established that the environmental destruction affects the conditions of life of a protected group, the next step is determining whether the harm reaches the threshold of physical destruction required under Article II(c). International courts have consistently distinguished ‘physical destruction’ from humanitarian suffering, displacement, or general environmental harm.</w:t>
      </w:r>
      <w:r w:rsidR="00E61636" w:rsidRPr="00D723FF">
        <w:rPr>
          <w:rStyle w:val="Voetnootmarkering"/>
          <w:lang w:val="nl-BE" w:eastAsia="nl-NL"/>
        </w:rPr>
        <w:footnoteReference w:id="168"/>
      </w:r>
      <w:r w:rsidR="00607755" w:rsidRPr="00D723FF">
        <w:rPr>
          <w:lang w:val="nl-BE" w:eastAsia="nl-NL"/>
        </w:rPr>
        <w:br/>
      </w:r>
      <w:r w:rsidR="00607755" w:rsidRPr="00D723FF">
        <w:rPr>
          <w:lang w:val="nl-BE" w:eastAsia="nl-NL"/>
        </w:rPr>
        <w:br/>
      </w:r>
      <w:r w:rsidRPr="00D723FF">
        <w:rPr>
          <w:lang w:val="nl-BE" w:eastAsia="nl-NL"/>
        </w:rPr>
        <w:t xml:space="preserve">In both </w:t>
      </w:r>
      <w:r w:rsidRPr="00D723FF">
        <w:rPr>
          <w:i/>
          <w:iCs/>
          <w:lang w:val="nl-BE" w:eastAsia="nl-NL"/>
        </w:rPr>
        <w:t>Krstić</w:t>
      </w:r>
      <w:r w:rsidRPr="00D723FF">
        <w:rPr>
          <w:lang w:val="nl-BE" w:eastAsia="nl-NL"/>
        </w:rPr>
        <w:t xml:space="preserve"> and </w:t>
      </w:r>
      <w:r w:rsidRPr="00D723FF">
        <w:rPr>
          <w:i/>
          <w:iCs/>
          <w:lang w:val="nl-BE" w:eastAsia="nl-NL"/>
        </w:rPr>
        <w:t>Croatia v Serbia</w:t>
      </w:r>
      <w:r w:rsidRPr="00D723FF">
        <w:rPr>
          <w:lang w:val="nl-BE" w:eastAsia="nl-NL"/>
        </w:rPr>
        <w:t>, the ICTY and ICJ emphasised that displacement, difficult living conditions, or destruction alone do not in themselves constitute genocide unless they threaten the physical survival of the group.</w:t>
      </w:r>
      <w:r w:rsidRPr="00D723FF">
        <w:rPr>
          <w:rStyle w:val="Voetnootmarkering"/>
          <w:lang w:val="nl-BE" w:eastAsia="nl-NL"/>
        </w:rPr>
        <w:footnoteReference w:id="169"/>
      </w:r>
      <w:r w:rsidRPr="00D723FF">
        <w:rPr>
          <w:lang w:val="nl-BE" w:eastAsia="nl-NL"/>
        </w:rPr>
        <w:t xml:space="preserve"> Applied to environmental destruction, this threshold may be reached where the destruction or contamination of environmental resources deprives a group of the ability to sustain life over time. This may include situations involving the destruction of drinking water, the collapse of agricultural production, widespread contamination of land, or the creation of uninhabitable living conditions.</w:t>
      </w:r>
      <w:r w:rsidR="00E61636" w:rsidRPr="00D723FF">
        <w:rPr>
          <w:rStyle w:val="Voetnootmarkering"/>
          <w:lang w:val="nl-BE" w:eastAsia="nl-NL"/>
        </w:rPr>
        <w:footnoteReference w:id="170"/>
      </w:r>
      <w:r w:rsidR="00901996">
        <w:rPr>
          <w:lang w:val="nl-BE" w:eastAsia="nl-NL"/>
        </w:rPr>
        <w:tab/>
      </w:r>
      <w:r w:rsidR="00607755" w:rsidRPr="00D723FF">
        <w:rPr>
          <w:lang w:val="nl-BE" w:eastAsia="nl-NL"/>
        </w:rPr>
        <w:br/>
      </w:r>
      <w:r w:rsidR="00607755" w:rsidRPr="00D723FF">
        <w:rPr>
          <w:lang w:val="nl-BE" w:eastAsia="nl-NL"/>
        </w:rPr>
        <w:br/>
      </w:r>
      <w:r w:rsidRPr="00D723FF">
        <w:rPr>
          <w:lang w:val="nl-BE" w:eastAsia="nl-NL"/>
        </w:rPr>
        <w:t>However, even severe environmental destruction or humanitarian crises do not automatically amount to genocide merely because they produce suffering or displacement.</w:t>
      </w:r>
      <w:r w:rsidR="00EF08D6" w:rsidRPr="00D723FF">
        <w:rPr>
          <w:rStyle w:val="Voetnootmarkering"/>
          <w:lang w:val="nl-BE" w:eastAsia="nl-NL"/>
        </w:rPr>
        <w:footnoteReference w:id="171"/>
      </w:r>
      <w:r w:rsidR="00607755" w:rsidRPr="00D723FF">
        <w:rPr>
          <w:lang w:val="nl-BE" w:eastAsia="nl-NL"/>
        </w:rPr>
        <w:t xml:space="preserve"> </w:t>
      </w:r>
      <w:r w:rsidR="006D730A">
        <w:rPr>
          <w:lang w:val="nl-BE" w:eastAsia="nl-NL"/>
        </w:rPr>
        <w:tab/>
      </w:r>
      <w:r w:rsidR="00607755" w:rsidRPr="00D723FF">
        <w:rPr>
          <w:lang w:val="nl-BE" w:eastAsia="nl-NL"/>
        </w:rPr>
        <w:br/>
      </w:r>
      <w:r w:rsidR="00C7415B">
        <w:rPr>
          <w:lang w:val="nl-BE" w:eastAsia="nl-NL"/>
        </w:rPr>
        <w:br/>
      </w:r>
      <w:r w:rsidR="00607755" w:rsidRPr="00D723FF">
        <w:rPr>
          <w:lang w:val="nl-BE" w:eastAsia="nl-NL"/>
        </w:rPr>
        <w:br/>
      </w:r>
      <w:r w:rsidR="00607755" w:rsidRPr="00D723FF">
        <w:rPr>
          <w:rStyle w:val="Kop3Char"/>
          <w:rFonts w:cs="Times New Roman"/>
          <w:lang w:val="en-US" w:eastAsia="nl-NL"/>
        </w:rPr>
        <w:lastRenderedPageBreak/>
        <w:tab/>
        <w:t>4</w:t>
      </w:r>
      <w:r w:rsidR="00A71B12" w:rsidRPr="00D723FF">
        <w:rPr>
          <w:rStyle w:val="Kop3Char"/>
          <w:rFonts w:cs="Times New Roman"/>
          <w:lang w:val="en-US" w:eastAsia="nl-NL"/>
        </w:rPr>
        <w:t>.2.4 Step 4: The conduct must target a protected group</w:t>
      </w:r>
      <w:r w:rsidR="006D730A">
        <w:rPr>
          <w:rStyle w:val="Kop3Char"/>
          <w:rFonts w:cs="Times New Roman"/>
          <w:lang w:val="en-US" w:eastAsia="nl-NL"/>
        </w:rPr>
        <w:tab/>
      </w:r>
      <w:r w:rsidR="00607755" w:rsidRPr="00D723FF">
        <w:rPr>
          <w:rStyle w:val="Kop3Char"/>
          <w:rFonts w:cs="Times New Roman"/>
          <w:lang w:val="en-US" w:eastAsia="nl-NL"/>
        </w:rPr>
        <w:br/>
      </w:r>
      <w:r w:rsidR="00EF08D6" w:rsidRPr="00D723FF">
        <w:rPr>
          <w:lang w:val="en-US"/>
        </w:rPr>
        <w:t>At this stage, the analysis moves beyond the general consequences of environmental destruction and turns to one of the elements that most clearly distinguishes genocide from other international crimes.</w:t>
      </w:r>
      <w:r w:rsidR="006D39F9" w:rsidRPr="00D723FF">
        <w:rPr>
          <w:rStyle w:val="Voetnootmarkering"/>
          <w:lang w:val="en-US"/>
        </w:rPr>
        <w:footnoteReference w:id="172"/>
      </w:r>
      <w:r w:rsidR="00EF08D6" w:rsidRPr="00D723FF">
        <w:rPr>
          <w:lang w:val="en-US"/>
        </w:rPr>
        <w:t xml:space="preserve"> Even where environmental destruction creates conditions threatening physical survival, Article II(c) additionally requires that the conduct be directed against a protected group within the meaning of the Genocide Convention.</w:t>
      </w:r>
      <w:r w:rsidR="006D39F9" w:rsidRPr="00D723FF">
        <w:rPr>
          <w:rStyle w:val="Voetnootmarkering"/>
          <w:lang w:val="en-US"/>
        </w:rPr>
        <w:footnoteReference w:id="173"/>
      </w:r>
      <w:r w:rsidR="00EF08D6" w:rsidRPr="00D723FF">
        <w:rPr>
          <w:lang w:val="en-US"/>
        </w:rPr>
        <w:t xml:space="preserve"> This requirement significantly raises the threshold for environmental destruction to qualify as genocidal conduct, as the harm must target the group specifically rather than affect civilians generally or incidentally in the context of armed conflict.</w:t>
      </w:r>
      <w:r w:rsidR="006D39F9" w:rsidRPr="00D723FF">
        <w:rPr>
          <w:rStyle w:val="Voetnootmarkering"/>
          <w:lang w:val="en-US"/>
        </w:rPr>
        <w:footnoteReference w:id="174"/>
      </w:r>
    </w:p>
    <w:p w14:paraId="6A9E118A" w14:textId="73EFC87C" w:rsidR="00C7415B" w:rsidRPr="00D723FF" w:rsidRDefault="006D39F9" w:rsidP="00D723FF">
      <w:pPr>
        <w:spacing w:line="360" w:lineRule="auto"/>
        <w:jc w:val="both"/>
        <w:rPr>
          <w:lang w:val="en-US"/>
        </w:rPr>
      </w:pPr>
      <w:r w:rsidRPr="00D723FF">
        <w:rPr>
          <w:lang w:val="en-US"/>
        </w:rPr>
        <w:t xml:space="preserve">In case law such as </w:t>
      </w:r>
      <w:proofErr w:type="spellStart"/>
      <w:r w:rsidRPr="00D723FF">
        <w:rPr>
          <w:i/>
          <w:iCs/>
          <w:lang w:val="en-US"/>
        </w:rPr>
        <w:t>Akayesu</w:t>
      </w:r>
      <w:proofErr w:type="spellEnd"/>
      <w:r w:rsidRPr="00D723FF">
        <w:rPr>
          <w:lang w:val="en-US"/>
        </w:rPr>
        <w:t xml:space="preserve"> and </w:t>
      </w:r>
      <w:r w:rsidRPr="00D723FF">
        <w:rPr>
          <w:i/>
          <w:iCs/>
          <w:lang w:val="en-US"/>
        </w:rPr>
        <w:t>Krstić</w:t>
      </w:r>
      <w:r w:rsidRPr="00D723FF">
        <w:rPr>
          <w:lang w:val="en-US"/>
        </w:rPr>
        <w:t xml:space="preserve">, the ICTR and ICTY </w:t>
      </w:r>
      <w:proofErr w:type="spellStart"/>
      <w:r w:rsidRPr="00D723FF">
        <w:rPr>
          <w:lang w:val="en-US"/>
        </w:rPr>
        <w:t>emphasised</w:t>
      </w:r>
      <w:proofErr w:type="spellEnd"/>
      <w:r w:rsidRPr="00D723FF">
        <w:rPr>
          <w:lang w:val="en-US"/>
        </w:rPr>
        <w:t xml:space="preserve"> that genocide requires conduct directed against a protected group as such, rather than civilians affected indiscriminately during armed conflict.</w:t>
      </w:r>
      <w:r w:rsidRPr="00D723FF">
        <w:rPr>
          <w:rStyle w:val="Voetnootmarkering"/>
          <w:lang w:val="en-US"/>
        </w:rPr>
        <w:footnoteReference w:id="175"/>
      </w:r>
      <w:r w:rsidRPr="00D723FF">
        <w:rPr>
          <w:lang w:val="en-US"/>
        </w:rPr>
        <w:t xml:space="preserve"> Applied to environmental destruction, this means that environmental harm will only become relevant under Article II(c) where the destruction of water systems, food supplies, agricultural land, or habitable territory specifically targets the survival of the protected group itself.</w:t>
      </w:r>
      <w:r w:rsidR="00E12F17" w:rsidRPr="00D723FF">
        <w:rPr>
          <w:rStyle w:val="Voetnootmarkering"/>
          <w:lang w:val="en-US"/>
        </w:rPr>
        <w:footnoteReference w:id="176"/>
      </w:r>
      <w:r w:rsidR="006D730A">
        <w:rPr>
          <w:lang w:val="en-US"/>
        </w:rPr>
        <w:tab/>
      </w:r>
      <w:r w:rsidR="006D730A">
        <w:rPr>
          <w:lang w:val="en-US"/>
        </w:rPr>
        <w:br/>
      </w:r>
    </w:p>
    <w:p w14:paraId="3D6914A8" w14:textId="6B32FC24" w:rsidR="007B3A2E" w:rsidRPr="00D723FF" w:rsidRDefault="00A71B12" w:rsidP="00C7415B">
      <w:pPr>
        <w:pStyle w:val="Kop3"/>
        <w:spacing w:line="360" w:lineRule="auto"/>
        <w:jc w:val="both"/>
        <w:rPr>
          <w:rFonts w:cs="Times New Roman"/>
        </w:rPr>
      </w:pPr>
      <w:bookmarkStart w:id="37" w:name="_Toc230376212"/>
      <w:r w:rsidRPr="00D723FF">
        <w:rPr>
          <w:rFonts w:cs="Times New Roman"/>
        </w:rPr>
        <w:t xml:space="preserve">4.2.5 </w:t>
      </w:r>
      <w:proofErr w:type="spellStart"/>
      <w:r w:rsidRPr="00D723FF">
        <w:rPr>
          <w:rFonts w:cs="Times New Roman"/>
        </w:rPr>
        <w:t>Step</w:t>
      </w:r>
      <w:proofErr w:type="spellEnd"/>
      <w:r w:rsidRPr="00D723FF">
        <w:rPr>
          <w:rFonts w:cs="Times New Roman"/>
        </w:rPr>
        <w:t xml:space="preserve"> 5: The </w:t>
      </w:r>
      <w:proofErr w:type="spellStart"/>
      <w:r w:rsidRPr="00D723FF">
        <w:rPr>
          <w:rFonts w:cs="Times New Roman"/>
        </w:rPr>
        <w:t>requirement</w:t>
      </w:r>
      <w:proofErr w:type="spellEnd"/>
      <w:r w:rsidRPr="00D723FF">
        <w:rPr>
          <w:rFonts w:cs="Times New Roman"/>
        </w:rPr>
        <w:t xml:space="preserve"> of dolus </w:t>
      </w:r>
      <w:proofErr w:type="spellStart"/>
      <w:r w:rsidRPr="00D723FF">
        <w:rPr>
          <w:rFonts w:cs="Times New Roman"/>
        </w:rPr>
        <w:t>specialis</w:t>
      </w:r>
      <w:bookmarkEnd w:id="37"/>
      <w:proofErr w:type="spellEnd"/>
    </w:p>
    <w:p w14:paraId="1B6CA3B8" w14:textId="09072F31" w:rsidR="00E12F17" w:rsidRPr="00D723FF" w:rsidRDefault="00E12F17" w:rsidP="00D723FF">
      <w:pPr>
        <w:spacing w:line="360" w:lineRule="auto"/>
        <w:jc w:val="both"/>
        <w:rPr>
          <w:rFonts w:eastAsiaTheme="minorHAnsi"/>
          <w:szCs w:val="22"/>
          <w:lang w:val="nl-BE" w:eastAsia="en-US"/>
        </w:rPr>
      </w:pPr>
      <w:r w:rsidRPr="00D723FF">
        <w:rPr>
          <w:rFonts w:eastAsiaTheme="minorHAnsi"/>
          <w:szCs w:val="22"/>
          <w:lang w:val="nl-BE" w:eastAsia="en-US"/>
        </w:rPr>
        <w:t xml:space="preserve">The final step concerns the requirement of </w:t>
      </w:r>
      <w:r w:rsidRPr="00D723FF">
        <w:rPr>
          <w:rFonts w:eastAsiaTheme="minorHAnsi"/>
          <w:i/>
          <w:iCs/>
          <w:szCs w:val="22"/>
          <w:lang w:val="nl-BE" w:eastAsia="en-US"/>
        </w:rPr>
        <w:t>dolus specialis</w:t>
      </w:r>
      <w:r w:rsidRPr="00D723FF">
        <w:rPr>
          <w:rFonts w:eastAsiaTheme="minorHAnsi"/>
          <w:szCs w:val="22"/>
          <w:lang w:val="nl-BE" w:eastAsia="en-US"/>
        </w:rPr>
        <w:t>, which constitutes the defining element of genocide and further raises the threshold for environmental destruction to fall within Article II(c).</w:t>
      </w:r>
      <w:r w:rsidRPr="00D723FF">
        <w:rPr>
          <w:rStyle w:val="Voetnootmarkering"/>
          <w:rFonts w:eastAsiaTheme="minorHAnsi"/>
          <w:szCs w:val="22"/>
          <w:lang w:val="nl-BE" w:eastAsia="en-US"/>
        </w:rPr>
        <w:footnoteReference w:id="177"/>
      </w:r>
      <w:r w:rsidRPr="00D723FF">
        <w:rPr>
          <w:rFonts w:eastAsiaTheme="minorHAnsi"/>
          <w:szCs w:val="22"/>
          <w:lang w:val="nl-BE" w:eastAsia="en-US"/>
        </w:rPr>
        <w:t xml:space="preserve"> It is not sufficient that environmental destruction creates harmful or even life-threatening conditions; the conduct must additionally be carried out with the specific intent to destroy a </w:t>
      </w:r>
      <w:r w:rsidRPr="00D723FF">
        <w:rPr>
          <w:rFonts w:eastAsiaTheme="minorHAnsi"/>
          <w:szCs w:val="22"/>
          <w:lang w:val="nl-BE" w:eastAsia="en-US"/>
        </w:rPr>
        <w:lastRenderedPageBreak/>
        <w:t>protected group, in whole or in part.</w:t>
      </w:r>
      <w:r w:rsidR="00C869F1" w:rsidRPr="00D723FF">
        <w:rPr>
          <w:rStyle w:val="Voetnootmarkering"/>
          <w:rFonts w:eastAsiaTheme="minorHAnsi"/>
          <w:szCs w:val="22"/>
          <w:lang w:val="nl-BE" w:eastAsia="en-US"/>
        </w:rPr>
        <w:footnoteReference w:id="178"/>
      </w:r>
      <w:r w:rsidR="00063A39">
        <w:rPr>
          <w:rFonts w:eastAsiaTheme="minorHAnsi"/>
          <w:szCs w:val="22"/>
          <w:lang w:val="nl-BE" w:eastAsia="en-US"/>
        </w:rPr>
        <w:tab/>
      </w:r>
      <w:r w:rsidR="00063A39">
        <w:rPr>
          <w:rFonts w:eastAsiaTheme="minorHAnsi"/>
          <w:szCs w:val="22"/>
          <w:lang w:val="nl-BE" w:eastAsia="en-US"/>
        </w:rPr>
        <w:br/>
      </w:r>
    </w:p>
    <w:p w14:paraId="4BE14E8C" w14:textId="13035824" w:rsidR="00E12F17" w:rsidRPr="00D723FF" w:rsidRDefault="00E12F17" w:rsidP="00D723FF">
      <w:pPr>
        <w:spacing w:line="360" w:lineRule="auto"/>
        <w:jc w:val="both"/>
        <w:rPr>
          <w:rFonts w:eastAsiaTheme="minorHAnsi"/>
          <w:szCs w:val="22"/>
          <w:lang w:val="nl-BE" w:eastAsia="en-US"/>
        </w:rPr>
      </w:pPr>
      <w:r w:rsidRPr="00D723FF">
        <w:rPr>
          <w:rFonts w:eastAsiaTheme="minorHAnsi"/>
          <w:szCs w:val="22"/>
          <w:lang w:val="nl-BE" w:eastAsia="en-US"/>
        </w:rPr>
        <w:t xml:space="preserve">In case law such as </w:t>
      </w:r>
      <w:r w:rsidRPr="00D723FF">
        <w:rPr>
          <w:rFonts w:eastAsiaTheme="minorHAnsi"/>
          <w:i/>
          <w:iCs/>
          <w:szCs w:val="22"/>
          <w:lang w:val="nl-BE" w:eastAsia="en-US"/>
        </w:rPr>
        <w:t>Akayesu</w:t>
      </w:r>
      <w:r w:rsidRPr="00D723FF">
        <w:rPr>
          <w:rFonts w:eastAsiaTheme="minorHAnsi"/>
          <w:szCs w:val="22"/>
          <w:lang w:val="nl-BE" w:eastAsia="en-US"/>
        </w:rPr>
        <w:t xml:space="preserve">, </w:t>
      </w:r>
      <w:r w:rsidRPr="00D723FF">
        <w:rPr>
          <w:rFonts w:eastAsiaTheme="minorHAnsi"/>
          <w:i/>
          <w:iCs/>
          <w:szCs w:val="22"/>
          <w:lang w:val="nl-BE" w:eastAsia="en-US"/>
        </w:rPr>
        <w:t>Jelisić</w:t>
      </w:r>
      <w:r w:rsidRPr="00D723FF">
        <w:rPr>
          <w:rFonts w:eastAsiaTheme="minorHAnsi"/>
          <w:szCs w:val="22"/>
          <w:lang w:val="nl-BE" w:eastAsia="en-US"/>
        </w:rPr>
        <w:t xml:space="preserve">, and </w:t>
      </w:r>
      <w:r w:rsidRPr="00D723FF">
        <w:rPr>
          <w:rFonts w:eastAsiaTheme="minorHAnsi"/>
          <w:i/>
          <w:iCs/>
          <w:szCs w:val="22"/>
          <w:lang w:val="nl-BE" w:eastAsia="en-US"/>
        </w:rPr>
        <w:t>Bosnia v Serbia</w:t>
      </w:r>
      <w:r w:rsidRPr="00D723FF">
        <w:rPr>
          <w:rFonts w:eastAsiaTheme="minorHAnsi"/>
          <w:szCs w:val="22"/>
          <w:lang w:val="nl-BE" w:eastAsia="en-US"/>
        </w:rPr>
        <w:t>, international courts consistently emphasised that genocidal intent distinguishes genocide from other international crimes.</w:t>
      </w:r>
      <w:r w:rsidR="00C869F1" w:rsidRPr="00D723FF">
        <w:rPr>
          <w:rStyle w:val="Voetnootmarkering"/>
          <w:rFonts w:eastAsiaTheme="minorHAnsi"/>
          <w:szCs w:val="22"/>
          <w:lang w:val="nl-BE" w:eastAsia="en-US"/>
        </w:rPr>
        <w:footnoteReference w:id="179"/>
      </w:r>
      <w:r w:rsidR="00C869F1" w:rsidRPr="00D723FF">
        <w:rPr>
          <w:rFonts w:eastAsiaTheme="minorHAnsi"/>
          <w:szCs w:val="22"/>
          <w:lang w:val="nl-BE" w:eastAsia="en-US"/>
        </w:rPr>
        <w:t xml:space="preserve"> </w:t>
      </w:r>
      <w:r w:rsidRPr="00D723FF">
        <w:rPr>
          <w:rFonts w:eastAsiaTheme="minorHAnsi"/>
          <w:szCs w:val="22"/>
          <w:lang w:val="nl-BE" w:eastAsia="en-US"/>
        </w:rPr>
        <w:t>Applied to environmental destruction, this means that the destruction or contamination of water systems, agricultural land, food supplies, or habitable territory will only amount to genocide where such destruction is deliberately used as a method to physically destroy the protected group itself.</w:t>
      </w:r>
      <w:r w:rsidR="00607755" w:rsidRPr="00D723FF">
        <w:rPr>
          <w:rFonts w:eastAsiaTheme="minorHAnsi"/>
          <w:szCs w:val="22"/>
          <w:lang w:val="nl-BE" w:eastAsia="en-US"/>
        </w:rPr>
        <w:br/>
      </w:r>
      <w:r w:rsidR="00607755" w:rsidRPr="00D723FF">
        <w:rPr>
          <w:rFonts w:eastAsiaTheme="minorHAnsi"/>
          <w:szCs w:val="22"/>
          <w:lang w:val="nl-BE" w:eastAsia="en-US"/>
        </w:rPr>
        <w:br/>
      </w:r>
      <w:r w:rsidR="0063689F" w:rsidRPr="00D723FF">
        <w:rPr>
          <w:lang w:val="en-US"/>
        </w:rPr>
        <w:t>Nonetheless</w:t>
      </w:r>
      <w:r w:rsidR="0098343E" w:rsidRPr="00D723FF">
        <w:rPr>
          <w:lang w:val="en-US"/>
        </w:rPr>
        <w:t>, proving genocidal intent in cases of environmental destruction remains extremely difficult, which further raises the already high threshold required under Article II(c)</w:t>
      </w:r>
      <w:r w:rsidRPr="00D723FF">
        <w:rPr>
          <w:rFonts w:eastAsiaTheme="minorHAnsi"/>
          <w:szCs w:val="22"/>
          <w:lang w:val="en-US" w:eastAsia="en-US"/>
        </w:rPr>
        <w:t>.</w:t>
      </w:r>
      <w:r w:rsidR="007B3A2E" w:rsidRPr="00D723FF">
        <w:rPr>
          <w:rStyle w:val="Voetnootmarkering"/>
          <w:rFonts w:eastAsiaTheme="minorHAnsi"/>
          <w:szCs w:val="22"/>
          <w:lang w:val="en-US" w:eastAsia="en-US"/>
        </w:rPr>
        <w:footnoteReference w:id="180"/>
      </w:r>
      <w:r w:rsidRPr="00D723FF">
        <w:rPr>
          <w:rFonts w:eastAsiaTheme="minorHAnsi"/>
          <w:szCs w:val="22"/>
          <w:lang w:val="en-US" w:eastAsia="en-US"/>
        </w:rPr>
        <w:t xml:space="preserve"> Environmental harm often occurs alongside broader military operations or strategic objectives, making it difficult to distinguish genocidal destruction from unlawful warfare, collective punishment, or other international crimes.</w:t>
      </w:r>
      <w:r w:rsidR="007B3A2E" w:rsidRPr="00D723FF">
        <w:rPr>
          <w:rStyle w:val="Voetnootmarkering"/>
          <w:rFonts w:eastAsiaTheme="minorHAnsi"/>
          <w:szCs w:val="22"/>
          <w:lang w:val="en-US" w:eastAsia="en-US"/>
        </w:rPr>
        <w:footnoteReference w:id="181"/>
      </w:r>
      <w:r w:rsidRPr="00D723FF">
        <w:rPr>
          <w:rFonts w:eastAsiaTheme="minorHAnsi"/>
          <w:szCs w:val="22"/>
          <w:lang w:val="en-US" w:eastAsia="en-US"/>
        </w:rPr>
        <w:t xml:space="preserve"> </w:t>
      </w:r>
      <w:r w:rsidR="0063689F" w:rsidRPr="00D723FF">
        <w:rPr>
          <w:lang w:val="en-US"/>
        </w:rPr>
        <w:t>Since</w:t>
      </w:r>
      <w:r w:rsidR="0098343E" w:rsidRPr="00D723FF">
        <w:rPr>
          <w:lang w:val="en-US"/>
        </w:rPr>
        <w:t xml:space="preserve"> environmental destruction often occurs alongside broader military operations, it may be challenging to demonstrate that the destruction was specifically intended to physically destroy the protected group itself.</w:t>
      </w:r>
      <w:r w:rsidR="00607755" w:rsidRPr="00D723FF">
        <w:rPr>
          <w:lang w:val="en-US"/>
        </w:rPr>
        <w:br/>
      </w:r>
    </w:p>
    <w:p w14:paraId="00FA72C4" w14:textId="5D303E11" w:rsidR="000277AC" w:rsidRPr="00D723FF" w:rsidRDefault="00CB2D6F" w:rsidP="00D723FF">
      <w:pPr>
        <w:pStyle w:val="Kop2"/>
        <w:spacing w:line="360" w:lineRule="auto"/>
        <w:rPr>
          <w:rFonts w:ascii="Times New Roman" w:hAnsi="Times New Roman" w:cs="Times New Roman"/>
        </w:rPr>
      </w:pPr>
      <w:bookmarkStart w:id="38" w:name="_Toc230376213"/>
      <w:r w:rsidRPr="00D723FF">
        <w:rPr>
          <w:rFonts w:ascii="Times New Roman" w:hAnsi="Times New Roman" w:cs="Times New Roman"/>
        </w:rPr>
        <w:t>4.</w:t>
      </w:r>
      <w:r w:rsidR="000F22C5" w:rsidRPr="00D723FF">
        <w:rPr>
          <w:rFonts w:ascii="Times New Roman" w:hAnsi="Times New Roman" w:cs="Times New Roman"/>
        </w:rPr>
        <w:t xml:space="preserve">3 </w:t>
      </w:r>
      <w:proofErr w:type="spellStart"/>
      <w:r w:rsidR="000F22C5" w:rsidRPr="00D723FF">
        <w:rPr>
          <w:rFonts w:ascii="Times New Roman" w:hAnsi="Times New Roman" w:cs="Times New Roman"/>
        </w:rPr>
        <w:t>Environmental</w:t>
      </w:r>
      <w:proofErr w:type="spellEnd"/>
      <w:r w:rsidR="000F22C5" w:rsidRPr="00D723FF">
        <w:rPr>
          <w:rFonts w:ascii="Times New Roman" w:hAnsi="Times New Roman" w:cs="Times New Roman"/>
        </w:rPr>
        <w:t xml:space="preserve"> destruction and </w:t>
      </w:r>
      <w:proofErr w:type="spellStart"/>
      <w:r w:rsidR="000F22C5" w:rsidRPr="00D723FF">
        <w:rPr>
          <w:rFonts w:ascii="Times New Roman" w:hAnsi="Times New Roman" w:cs="Times New Roman"/>
        </w:rPr>
        <w:t>ecocide</w:t>
      </w:r>
      <w:bookmarkEnd w:id="38"/>
      <w:proofErr w:type="spellEnd"/>
    </w:p>
    <w:p w14:paraId="3B7C8ACD" w14:textId="45142B40" w:rsidR="000F22C5" w:rsidRPr="00D723FF" w:rsidRDefault="000F22C5" w:rsidP="00D723FF">
      <w:pPr>
        <w:spacing w:line="360" w:lineRule="auto"/>
        <w:jc w:val="both"/>
        <w:rPr>
          <w:lang w:val="en-US" w:eastAsia="en-US"/>
        </w:rPr>
      </w:pPr>
      <w:r w:rsidRPr="00D723FF">
        <w:rPr>
          <w:lang w:val="en-US" w:eastAsia="en-US"/>
        </w:rPr>
        <w:t xml:space="preserve">The previous analysis demonstrated that environmental destruction may fall within Article II(c) of the Genocide Convention, but only under particularly restrictive conditions. The high threshold resulting from the requirements </w:t>
      </w:r>
      <w:r w:rsidR="00CB2D6F" w:rsidRPr="00D723FF">
        <w:rPr>
          <w:lang w:val="en-US" w:eastAsia="en-US"/>
        </w:rPr>
        <w:t xml:space="preserve">given in the steps above, </w:t>
      </w:r>
      <w:r w:rsidRPr="00D723FF">
        <w:rPr>
          <w:lang w:val="en-US" w:eastAsia="en-US"/>
        </w:rPr>
        <w:t>therefore raises the question of whether severe environmental destruction may in some situations be addressed more appropriately through the concept of ecocide.</w:t>
      </w:r>
      <w:r w:rsidR="00607755" w:rsidRPr="00D723FF">
        <w:rPr>
          <w:lang w:val="en-US" w:eastAsia="en-US"/>
        </w:rPr>
        <w:tab/>
      </w:r>
      <w:r w:rsidR="00607755" w:rsidRPr="00D723FF">
        <w:rPr>
          <w:lang w:val="en-US" w:eastAsia="en-US"/>
        </w:rPr>
        <w:br/>
      </w:r>
    </w:p>
    <w:p w14:paraId="3703646E" w14:textId="518310CD" w:rsidR="00237260" w:rsidRPr="00D723FF" w:rsidRDefault="00CF3700" w:rsidP="00D723FF">
      <w:pPr>
        <w:spacing w:line="360" w:lineRule="auto"/>
        <w:jc w:val="both"/>
        <w:rPr>
          <w:lang w:val="nl-BE" w:eastAsia="en-US"/>
        </w:rPr>
      </w:pPr>
      <w:r w:rsidRPr="00D723FF">
        <w:rPr>
          <w:lang w:val="nl-BE" w:eastAsia="en-US"/>
        </w:rPr>
        <w:t xml:space="preserve">Although ecocide has not yet been formally codified under international criminal law, it is generally understood as severe, widespread, or long-term environmental destruction causing </w:t>
      </w:r>
      <w:r w:rsidRPr="00D723FF">
        <w:rPr>
          <w:lang w:val="nl-BE" w:eastAsia="en-US"/>
        </w:rPr>
        <w:lastRenderedPageBreak/>
        <w:t>serious harm to ecosystems or the peaceful enjoyment of the environment.</w:t>
      </w:r>
      <w:r w:rsidRPr="00D723FF">
        <w:rPr>
          <w:rStyle w:val="Voetnootmarkering"/>
          <w:lang w:val="nl-BE" w:eastAsia="en-US"/>
        </w:rPr>
        <w:footnoteReference w:id="182"/>
      </w:r>
      <w:r w:rsidRPr="00D723FF">
        <w:rPr>
          <w:lang w:val="nl-BE" w:eastAsia="en-US"/>
        </w:rPr>
        <w:t xml:space="preserve"> Recent proposals, including the definition proposed by the Independent Expert Panel convened by the Stop Ecocide Foundation, define ecocide primarily by reference to the scale and severity of environmental harm itself.</w:t>
      </w:r>
      <w:r w:rsidR="00C57DF3" w:rsidRPr="00D723FF">
        <w:rPr>
          <w:rStyle w:val="Voetnootmarkering"/>
          <w:lang w:val="nl-BE" w:eastAsia="en-US"/>
        </w:rPr>
        <w:footnoteReference w:id="183"/>
      </w:r>
      <w:r w:rsidR="00607755" w:rsidRPr="00D723FF">
        <w:rPr>
          <w:lang w:val="nl-BE" w:eastAsia="en-US"/>
        </w:rPr>
        <w:tab/>
      </w:r>
      <w:r w:rsidR="00607755" w:rsidRPr="00D723FF">
        <w:rPr>
          <w:lang w:val="nl-BE" w:eastAsia="en-US"/>
        </w:rPr>
        <w:br/>
      </w:r>
      <w:r w:rsidR="00607755" w:rsidRPr="00D723FF">
        <w:rPr>
          <w:lang w:val="nl-BE" w:eastAsia="en-US"/>
        </w:rPr>
        <w:br/>
      </w:r>
      <w:r w:rsidRPr="00D723FF">
        <w:rPr>
          <w:lang w:val="nl-BE" w:eastAsia="en-US"/>
        </w:rPr>
        <w:t>This distinction is important because genocide and ecocide protect fundamentally different legal interests. While genocide focuses on the destruction of protected groups, ecocide proposals primarily focus on the protection of the environment itself.</w:t>
      </w:r>
      <w:r w:rsidR="00C45912" w:rsidRPr="00D723FF">
        <w:rPr>
          <w:rStyle w:val="Voetnootmarkering"/>
          <w:lang w:val="nl-BE" w:eastAsia="en-US"/>
        </w:rPr>
        <w:footnoteReference w:id="184"/>
      </w:r>
      <w:r w:rsidRPr="00D723FF">
        <w:rPr>
          <w:lang w:val="nl-BE" w:eastAsia="en-US"/>
        </w:rPr>
        <w:t xml:space="preserve"> As a result, ecocide does not generally require proof that environmental destruction was committed with the intent to destroy a national, ethnical, racial, or religious group.</w:t>
      </w:r>
      <w:r w:rsidR="00607755" w:rsidRPr="00D723FF">
        <w:rPr>
          <w:lang w:val="nl-BE" w:eastAsia="en-US"/>
        </w:rPr>
        <w:tab/>
      </w:r>
      <w:r w:rsidR="00607755" w:rsidRPr="00D723FF">
        <w:rPr>
          <w:lang w:val="nl-BE" w:eastAsia="en-US"/>
        </w:rPr>
        <w:br/>
      </w:r>
      <w:r w:rsidR="00607755" w:rsidRPr="00D723FF">
        <w:rPr>
          <w:lang w:val="nl-BE" w:eastAsia="en-US"/>
        </w:rPr>
        <w:br/>
      </w:r>
      <w:r w:rsidR="00D65CB7" w:rsidRPr="00D723FF">
        <w:rPr>
          <w:lang w:val="nl-BE" w:eastAsia="nl-NL"/>
        </w:rPr>
        <w:t>The distinction between both concepts also has important legal consequences. Qualification as genocide triggers the specific obligations contained in the Genocide Con</w:t>
      </w:r>
      <w:proofErr w:type="spellStart"/>
      <w:r w:rsidR="00D65CB7" w:rsidRPr="00D723FF">
        <w:rPr>
          <w:lang w:val="en-US" w:eastAsia="nl-NL"/>
        </w:rPr>
        <w:t>vention</w:t>
      </w:r>
      <w:proofErr w:type="spellEnd"/>
      <w:r w:rsidR="00D65CB7" w:rsidRPr="00D723FF">
        <w:rPr>
          <w:lang w:val="en-US" w:eastAsia="nl-NL"/>
        </w:rPr>
        <w:t xml:space="preserve">, including the duties to prevent and punish genocide under international law (see </w:t>
      </w:r>
      <w:r w:rsidR="00D65CB7" w:rsidRPr="00D723FF">
        <w:rPr>
          <w:i/>
          <w:iCs/>
          <w:lang w:val="en-US" w:eastAsia="nl-NL"/>
        </w:rPr>
        <w:t xml:space="preserve">supra </w:t>
      </w:r>
      <w:r w:rsidR="00D65CB7" w:rsidRPr="00D723FF">
        <w:rPr>
          <w:lang w:val="en-US" w:eastAsia="nl-NL"/>
        </w:rPr>
        <w:t>chapter</w:t>
      </w:r>
      <w:r w:rsidR="000B7537" w:rsidRPr="00D723FF">
        <w:rPr>
          <w:lang w:val="en-US" w:eastAsia="nl-NL"/>
        </w:rPr>
        <w:t>).</w:t>
      </w:r>
      <w:r w:rsidR="00C07635" w:rsidRPr="00D723FF">
        <w:rPr>
          <w:lang w:val="en-US" w:eastAsia="nl-NL"/>
        </w:rPr>
        <w:t xml:space="preserve"> </w:t>
      </w:r>
      <w:r w:rsidR="00C07635" w:rsidRPr="00D723FF">
        <w:t xml:space="preserve">By </w:t>
      </w:r>
      <w:proofErr w:type="spellStart"/>
      <w:r w:rsidR="00C07635" w:rsidRPr="00D723FF">
        <w:t>contrast</w:t>
      </w:r>
      <w:proofErr w:type="spellEnd"/>
      <w:r w:rsidR="00C07635" w:rsidRPr="00D723FF">
        <w:t xml:space="preserve">, international </w:t>
      </w:r>
      <w:proofErr w:type="spellStart"/>
      <w:r w:rsidR="00C07635" w:rsidRPr="00D723FF">
        <w:t>law</w:t>
      </w:r>
      <w:proofErr w:type="spellEnd"/>
      <w:r w:rsidR="00C07635" w:rsidRPr="00D723FF">
        <w:t xml:space="preserve"> </w:t>
      </w:r>
      <w:proofErr w:type="spellStart"/>
      <w:r w:rsidR="00C07635" w:rsidRPr="00D723FF">
        <w:t>currently</w:t>
      </w:r>
      <w:proofErr w:type="spellEnd"/>
      <w:r w:rsidR="00C07635" w:rsidRPr="00D723FF">
        <w:t xml:space="preserve"> </w:t>
      </w:r>
      <w:proofErr w:type="spellStart"/>
      <w:r w:rsidR="00C07635" w:rsidRPr="00D723FF">
        <w:t>does</w:t>
      </w:r>
      <w:proofErr w:type="spellEnd"/>
      <w:r w:rsidR="00C07635" w:rsidRPr="00D723FF">
        <w:t xml:space="preserve"> not impose comparable obligations to </w:t>
      </w:r>
      <w:proofErr w:type="spellStart"/>
      <w:r w:rsidR="00C07635" w:rsidRPr="00D723FF">
        <w:t>prevent</w:t>
      </w:r>
      <w:proofErr w:type="spellEnd"/>
      <w:r w:rsidR="00C07635" w:rsidRPr="00D723FF">
        <w:t xml:space="preserve"> and </w:t>
      </w:r>
      <w:proofErr w:type="spellStart"/>
      <w:r w:rsidR="00C07635" w:rsidRPr="00D723FF">
        <w:t>punish</w:t>
      </w:r>
      <w:proofErr w:type="spellEnd"/>
      <w:r w:rsidR="00C07635" w:rsidRPr="00D723FF">
        <w:t xml:space="preserve"> </w:t>
      </w:r>
      <w:proofErr w:type="spellStart"/>
      <w:r w:rsidR="00C07635" w:rsidRPr="00D723FF">
        <w:t>ecocide</w:t>
      </w:r>
      <w:proofErr w:type="spellEnd"/>
      <w:r w:rsidR="00C07635" w:rsidRPr="00D723FF">
        <w:t>.</w:t>
      </w:r>
      <w:r w:rsidR="000B7537" w:rsidRPr="00D723FF">
        <w:rPr>
          <w:lang w:val="en-US"/>
        </w:rPr>
        <w:t xml:space="preserve"> Although some authors have argued that genocide and ecocide should not be treated as entirely separate concepts due to the close relationship between environmental destruction and the destruction of human groups, the legal consequences attached to both concepts nevertheless remain fundamentally different under current international law.</w:t>
      </w:r>
      <w:r w:rsidR="000B7537" w:rsidRPr="00D723FF">
        <w:rPr>
          <w:rStyle w:val="Voetnootmarkering"/>
          <w:lang w:val="en-US"/>
        </w:rPr>
        <w:footnoteReference w:id="185"/>
      </w:r>
    </w:p>
    <w:p w14:paraId="01216EA6" w14:textId="30A9F119" w:rsidR="00AD63B6" w:rsidRPr="00D723FF" w:rsidRDefault="00063A39" w:rsidP="00D723FF">
      <w:pPr>
        <w:pStyle w:val="Kop2"/>
        <w:spacing w:line="360" w:lineRule="auto"/>
        <w:rPr>
          <w:rFonts w:ascii="Times New Roman" w:hAnsi="Times New Roman" w:cs="Times New Roman"/>
          <w:lang w:val="nl-BE" w:eastAsia="en-US"/>
        </w:rPr>
      </w:pPr>
      <w:r>
        <w:rPr>
          <w:rFonts w:ascii="Times New Roman" w:hAnsi="Times New Roman" w:cs="Times New Roman"/>
          <w:lang w:val="nl-BE" w:eastAsia="en-US"/>
        </w:rPr>
        <w:br/>
      </w:r>
      <w:bookmarkStart w:id="39" w:name="_Toc230376214"/>
      <w:r w:rsidR="007E5E18" w:rsidRPr="00D723FF">
        <w:rPr>
          <w:rFonts w:ascii="Times New Roman" w:hAnsi="Times New Roman" w:cs="Times New Roman"/>
          <w:lang w:val="nl-BE" w:eastAsia="en-US"/>
        </w:rPr>
        <w:t xml:space="preserve">4.4 Applying the </w:t>
      </w:r>
      <w:r w:rsidR="00181DD2" w:rsidRPr="00D723FF">
        <w:rPr>
          <w:rFonts w:ascii="Times New Roman" w:hAnsi="Times New Roman" w:cs="Times New Roman"/>
          <w:lang w:val="nl-BE" w:eastAsia="en-US"/>
        </w:rPr>
        <w:t>f</w:t>
      </w:r>
      <w:r w:rsidR="007E5E18" w:rsidRPr="00D723FF">
        <w:rPr>
          <w:rFonts w:ascii="Times New Roman" w:hAnsi="Times New Roman" w:cs="Times New Roman"/>
          <w:lang w:val="nl-BE" w:eastAsia="en-US"/>
        </w:rPr>
        <w:t xml:space="preserve">ramework to </w:t>
      </w:r>
      <w:r w:rsidR="00C07635" w:rsidRPr="00D723FF">
        <w:rPr>
          <w:rFonts w:ascii="Times New Roman" w:hAnsi="Times New Roman" w:cs="Times New Roman"/>
          <w:lang w:val="nl-BE" w:eastAsia="en-US"/>
        </w:rPr>
        <w:t>the conflict in Gaza</w:t>
      </w:r>
      <w:bookmarkEnd w:id="39"/>
    </w:p>
    <w:p w14:paraId="6B11E5B8" w14:textId="6A9E51DE" w:rsidR="00464663" w:rsidRPr="00D723FF" w:rsidRDefault="00636C0F" w:rsidP="00D723FF">
      <w:pPr>
        <w:spacing w:line="360" w:lineRule="auto"/>
        <w:jc w:val="both"/>
        <w:rPr>
          <w:lang w:val="en-US"/>
        </w:rPr>
      </w:pPr>
      <w:r w:rsidRPr="00D723FF">
        <w:rPr>
          <w:lang w:val="en-US"/>
        </w:rPr>
        <w:t>The framework developed above may also be applied to contemporary situations involving large-scale environmental destruction.</w:t>
      </w:r>
      <w:r w:rsidR="00E835B6" w:rsidRPr="00D723FF">
        <w:rPr>
          <w:lang w:val="en-US"/>
        </w:rPr>
        <w:t xml:space="preserve"> </w:t>
      </w:r>
      <w:r w:rsidR="006D730A">
        <w:rPr>
          <w:lang w:val="en-US"/>
        </w:rPr>
        <w:tab/>
      </w:r>
      <w:r w:rsidR="006D730A">
        <w:rPr>
          <w:lang w:val="en-US"/>
        </w:rPr>
        <w:br/>
      </w:r>
      <w:r w:rsidR="00E835B6" w:rsidRPr="00D723FF">
        <w:lastRenderedPageBreak/>
        <w:t xml:space="preserve">The situation in Gaza </w:t>
      </w:r>
      <w:proofErr w:type="spellStart"/>
      <w:r w:rsidR="00E835B6" w:rsidRPr="00D723FF">
        <w:t>constitutes</w:t>
      </w:r>
      <w:proofErr w:type="spellEnd"/>
      <w:r w:rsidR="00E835B6" w:rsidRPr="00D723FF">
        <w:t xml:space="preserve"> </w:t>
      </w:r>
      <w:r w:rsidR="00E835B6" w:rsidRPr="00D723FF">
        <w:t xml:space="preserve">a </w:t>
      </w:r>
      <w:proofErr w:type="spellStart"/>
      <w:r w:rsidR="00E835B6" w:rsidRPr="00D723FF">
        <w:t>contemporary</w:t>
      </w:r>
      <w:proofErr w:type="spellEnd"/>
      <w:r w:rsidR="00E835B6" w:rsidRPr="00D723FF">
        <w:t xml:space="preserve"> </w:t>
      </w:r>
      <w:proofErr w:type="spellStart"/>
      <w:r w:rsidR="00E835B6" w:rsidRPr="00D723FF">
        <w:t>example</w:t>
      </w:r>
      <w:proofErr w:type="spellEnd"/>
      <w:r w:rsidR="00E835B6" w:rsidRPr="00D723FF">
        <w:t xml:space="preserve">, as the </w:t>
      </w:r>
      <w:proofErr w:type="spellStart"/>
      <w:r w:rsidR="00E835B6" w:rsidRPr="00D723FF">
        <w:t>environmental</w:t>
      </w:r>
      <w:proofErr w:type="spellEnd"/>
      <w:r w:rsidR="00E835B6" w:rsidRPr="00D723FF">
        <w:t xml:space="preserve"> </w:t>
      </w:r>
      <w:proofErr w:type="spellStart"/>
      <w:r w:rsidR="00E835B6" w:rsidRPr="00D723FF">
        <w:t>consequences</w:t>
      </w:r>
      <w:proofErr w:type="spellEnd"/>
      <w:r w:rsidR="00E835B6" w:rsidRPr="00D723FF">
        <w:t xml:space="preserve"> of the </w:t>
      </w:r>
      <w:proofErr w:type="spellStart"/>
      <w:r w:rsidR="00E835B6" w:rsidRPr="00D723FF">
        <w:t>conflict</w:t>
      </w:r>
      <w:proofErr w:type="spellEnd"/>
      <w:r w:rsidR="00E835B6" w:rsidRPr="00D723FF">
        <w:t xml:space="preserve"> have </w:t>
      </w:r>
      <w:proofErr w:type="spellStart"/>
      <w:r w:rsidR="00E835B6" w:rsidRPr="00D723FF">
        <w:t>increasingly</w:t>
      </w:r>
      <w:proofErr w:type="spellEnd"/>
      <w:r w:rsidR="00E835B6" w:rsidRPr="00D723FF">
        <w:t xml:space="preserve"> </w:t>
      </w:r>
      <w:proofErr w:type="spellStart"/>
      <w:r w:rsidR="00E835B6" w:rsidRPr="00D723FF">
        <w:t>become</w:t>
      </w:r>
      <w:proofErr w:type="spellEnd"/>
      <w:r w:rsidR="00E835B6" w:rsidRPr="00D723FF">
        <w:t xml:space="preserve"> the </w:t>
      </w:r>
      <w:proofErr w:type="spellStart"/>
      <w:r w:rsidR="00E835B6" w:rsidRPr="00D723FF">
        <w:t>subject</w:t>
      </w:r>
      <w:proofErr w:type="spellEnd"/>
      <w:r w:rsidR="00E835B6" w:rsidRPr="00D723FF">
        <w:t xml:space="preserve"> of international </w:t>
      </w:r>
      <w:proofErr w:type="spellStart"/>
      <w:r w:rsidR="00E835B6" w:rsidRPr="00D723FF">
        <w:t>legal</w:t>
      </w:r>
      <w:proofErr w:type="spellEnd"/>
      <w:r w:rsidR="00E835B6" w:rsidRPr="00D723FF">
        <w:t xml:space="preserve"> and </w:t>
      </w:r>
      <w:proofErr w:type="spellStart"/>
      <w:r w:rsidR="00E835B6" w:rsidRPr="00D723FF">
        <w:t>political</w:t>
      </w:r>
      <w:proofErr w:type="spellEnd"/>
      <w:r w:rsidR="00E835B6" w:rsidRPr="00D723FF">
        <w:t xml:space="preserve"> </w:t>
      </w:r>
      <w:proofErr w:type="spellStart"/>
      <w:r w:rsidR="00E835B6" w:rsidRPr="00D723FF">
        <w:t>debate</w:t>
      </w:r>
      <w:proofErr w:type="spellEnd"/>
      <w:r w:rsidR="00E835B6" w:rsidRPr="00D723FF">
        <w:t>.</w:t>
      </w:r>
      <w:r w:rsidRPr="00D723FF">
        <w:rPr>
          <w:lang w:val="en-US"/>
        </w:rPr>
        <w:t xml:space="preserve"> </w:t>
      </w:r>
      <w:r w:rsidR="007E0E6F">
        <w:rPr>
          <w:lang w:val="en-US"/>
        </w:rPr>
        <w:tab/>
      </w:r>
      <w:r w:rsidR="007E0E6F">
        <w:rPr>
          <w:lang w:val="en-US"/>
        </w:rPr>
        <w:br/>
      </w:r>
      <w:r w:rsidR="007E0E6F">
        <w:rPr>
          <w:lang w:val="en-US"/>
        </w:rPr>
        <w:br/>
      </w:r>
      <w:r w:rsidR="00C07635" w:rsidRPr="00D723FF">
        <w:rPr>
          <w:lang w:val="en-US"/>
        </w:rPr>
        <w:t xml:space="preserve">(1) </w:t>
      </w:r>
      <w:r w:rsidRPr="00D723FF">
        <w:rPr>
          <w:lang w:val="en-US"/>
        </w:rPr>
        <w:t>Applying these cumulative elements to the situation in Gaza, the first question is whether the conduct in question constitutes environmental destruction. Numerous reports documented large-scale destruction of water infrastructure, agricultural land, food systems, sanitation facilities, and habitable civilian areas.</w:t>
      </w:r>
      <w:r w:rsidRPr="00D723FF">
        <w:rPr>
          <w:rStyle w:val="Voetnootmarkering"/>
          <w:lang w:val="en-US"/>
        </w:rPr>
        <w:footnoteReference w:id="186"/>
      </w:r>
      <w:r w:rsidRPr="00D723FF">
        <w:rPr>
          <w:lang w:val="en-US"/>
        </w:rPr>
        <w:t xml:space="preserve"> Such destruction </w:t>
      </w:r>
      <w:r w:rsidR="00B22295" w:rsidRPr="00D723FF">
        <w:rPr>
          <w:lang w:val="en-US"/>
        </w:rPr>
        <w:t>can</w:t>
      </w:r>
      <w:r w:rsidRPr="00D723FF">
        <w:rPr>
          <w:lang w:val="en-US"/>
        </w:rPr>
        <w:t xml:space="preserve"> fall within the notion of environmental destruction discussed above, particularly where access to resources indispensable for civilian survival becomes severely restricted.</w:t>
      </w:r>
      <w:r w:rsidR="00201147">
        <w:rPr>
          <w:lang w:val="en-US"/>
        </w:rPr>
        <w:tab/>
      </w:r>
      <w:r w:rsidR="00201147">
        <w:rPr>
          <w:lang w:val="en-US"/>
        </w:rPr>
        <w:br/>
      </w:r>
    </w:p>
    <w:p w14:paraId="0E8EEEA3" w14:textId="4F81DF70" w:rsidR="00B22295" w:rsidRPr="00D723FF" w:rsidRDefault="00C07635" w:rsidP="00D723FF">
      <w:pPr>
        <w:spacing w:line="360" w:lineRule="auto"/>
        <w:jc w:val="both"/>
        <w:rPr>
          <w:lang w:val="nl-BE" w:eastAsia="en-US"/>
        </w:rPr>
      </w:pPr>
      <w:r w:rsidRPr="00D723FF">
        <w:rPr>
          <w:lang w:val="nl-BE" w:eastAsia="en-US"/>
        </w:rPr>
        <w:t xml:space="preserve">(2) </w:t>
      </w:r>
      <w:r w:rsidR="00B22295" w:rsidRPr="00D723FF">
        <w:rPr>
          <w:lang w:val="nl-BE" w:eastAsia="en-US"/>
        </w:rPr>
        <w:t xml:space="preserve">The next question is whether this destruction affects the </w:t>
      </w:r>
      <w:r w:rsidR="001F4D43" w:rsidRPr="00D723FF">
        <w:rPr>
          <w:lang w:val="nl-BE" w:eastAsia="en-US"/>
        </w:rPr>
        <w:t>‘</w:t>
      </w:r>
      <w:r w:rsidR="00B22295" w:rsidRPr="00D723FF">
        <w:rPr>
          <w:lang w:val="nl-BE" w:eastAsia="en-US"/>
        </w:rPr>
        <w:t>conditions of life</w:t>
      </w:r>
      <w:r w:rsidR="001F4D43" w:rsidRPr="00D723FF">
        <w:rPr>
          <w:lang w:val="nl-BE" w:eastAsia="en-US"/>
        </w:rPr>
        <w:t>’</w:t>
      </w:r>
      <w:r w:rsidR="00B22295" w:rsidRPr="00D723FF">
        <w:rPr>
          <w:lang w:val="nl-BE" w:eastAsia="en-US"/>
        </w:rPr>
        <w:t xml:space="preserve"> of the protected group within the meaning of Article II(c). </w:t>
      </w:r>
      <w:r w:rsidR="001F4D43" w:rsidRPr="00D723FF">
        <w:t xml:space="preserve">The UN </w:t>
      </w:r>
      <w:proofErr w:type="spellStart"/>
      <w:r w:rsidR="001F4D43" w:rsidRPr="00D723FF">
        <w:t>reported</w:t>
      </w:r>
      <w:proofErr w:type="spellEnd"/>
      <w:r w:rsidR="001F4D43" w:rsidRPr="00D723FF">
        <w:t xml:space="preserve"> in June 2024 </w:t>
      </w:r>
      <w:proofErr w:type="spellStart"/>
      <w:r w:rsidR="001F4D43" w:rsidRPr="00D723FF">
        <w:t>that</w:t>
      </w:r>
      <w:proofErr w:type="spellEnd"/>
      <w:r w:rsidR="001F4D43" w:rsidRPr="00D723FF">
        <w:t xml:space="preserve"> </w:t>
      </w:r>
      <w:proofErr w:type="spellStart"/>
      <w:r w:rsidR="001F4D43" w:rsidRPr="00D723FF">
        <w:t>Palestinians</w:t>
      </w:r>
      <w:proofErr w:type="spellEnd"/>
      <w:r w:rsidR="001F4D43" w:rsidRPr="00D723FF">
        <w:t xml:space="preserve"> in Gaza </w:t>
      </w:r>
      <w:proofErr w:type="spellStart"/>
      <w:r w:rsidR="001F4D43" w:rsidRPr="00D723FF">
        <w:t>continued</w:t>
      </w:r>
      <w:proofErr w:type="spellEnd"/>
      <w:r w:rsidR="001F4D43" w:rsidRPr="00D723FF">
        <w:t xml:space="preserve"> to have </w:t>
      </w:r>
      <w:proofErr w:type="spellStart"/>
      <w:r w:rsidR="001F4D43" w:rsidRPr="00D723FF">
        <w:t>critically</w:t>
      </w:r>
      <w:proofErr w:type="spellEnd"/>
      <w:r w:rsidR="001F4D43" w:rsidRPr="00D723FF">
        <w:t xml:space="preserve"> </w:t>
      </w:r>
      <w:proofErr w:type="spellStart"/>
      <w:r w:rsidR="001F4D43" w:rsidRPr="00D723FF">
        <w:t>low</w:t>
      </w:r>
      <w:proofErr w:type="spellEnd"/>
      <w:r w:rsidR="001F4D43" w:rsidRPr="00D723FF">
        <w:t xml:space="preserve"> </w:t>
      </w:r>
      <w:proofErr w:type="spellStart"/>
      <w:r w:rsidR="001F4D43" w:rsidRPr="00D723FF">
        <w:t>access</w:t>
      </w:r>
      <w:proofErr w:type="spellEnd"/>
      <w:r w:rsidR="001F4D43" w:rsidRPr="00D723FF">
        <w:t xml:space="preserve"> to clean water, </w:t>
      </w:r>
      <w:proofErr w:type="spellStart"/>
      <w:r w:rsidR="001F4D43" w:rsidRPr="00D723FF">
        <w:t>below</w:t>
      </w:r>
      <w:proofErr w:type="spellEnd"/>
      <w:r w:rsidR="001F4D43" w:rsidRPr="00D723FF">
        <w:t xml:space="preserve"> the </w:t>
      </w:r>
      <w:proofErr w:type="spellStart"/>
      <w:r w:rsidR="001F4D43" w:rsidRPr="00D723FF">
        <w:t>internationally</w:t>
      </w:r>
      <w:proofErr w:type="spellEnd"/>
      <w:r w:rsidR="001F4D43" w:rsidRPr="00D723FF">
        <w:t xml:space="preserve"> </w:t>
      </w:r>
      <w:proofErr w:type="spellStart"/>
      <w:r w:rsidR="001F4D43" w:rsidRPr="00D723FF">
        <w:t>recognised</w:t>
      </w:r>
      <w:proofErr w:type="spellEnd"/>
      <w:r w:rsidR="001F4D43" w:rsidRPr="00D723FF">
        <w:t xml:space="preserve"> minimum </w:t>
      </w:r>
      <w:proofErr w:type="spellStart"/>
      <w:r w:rsidR="001F4D43" w:rsidRPr="00D723FF">
        <w:t>required</w:t>
      </w:r>
      <w:proofErr w:type="spellEnd"/>
      <w:r w:rsidR="001F4D43" w:rsidRPr="00D723FF">
        <w:t xml:space="preserve"> for </w:t>
      </w:r>
      <w:proofErr w:type="spellStart"/>
      <w:r w:rsidR="001F4D43" w:rsidRPr="00D723FF">
        <w:t>survival</w:t>
      </w:r>
      <w:proofErr w:type="spellEnd"/>
      <w:r w:rsidR="001F4D43" w:rsidRPr="00D723FF">
        <w:t xml:space="preserve">, </w:t>
      </w:r>
      <w:proofErr w:type="spellStart"/>
      <w:r w:rsidR="001F4D43" w:rsidRPr="00D723FF">
        <w:t>while</w:t>
      </w:r>
      <w:proofErr w:type="spellEnd"/>
      <w:r w:rsidR="001F4D43" w:rsidRPr="00D723FF">
        <w:t xml:space="preserve"> </w:t>
      </w:r>
      <w:proofErr w:type="spellStart"/>
      <w:r w:rsidR="001F4D43" w:rsidRPr="00D723FF">
        <w:t>many</w:t>
      </w:r>
      <w:proofErr w:type="spellEnd"/>
      <w:r w:rsidR="001F4D43" w:rsidRPr="00D723FF">
        <w:t xml:space="preserve"> </w:t>
      </w:r>
      <w:proofErr w:type="spellStart"/>
      <w:r w:rsidR="001F4D43" w:rsidRPr="00D723FF">
        <w:t>civilians</w:t>
      </w:r>
      <w:proofErr w:type="spellEnd"/>
      <w:r w:rsidR="001F4D43" w:rsidRPr="00D723FF">
        <w:t xml:space="preserve"> </w:t>
      </w:r>
      <w:proofErr w:type="spellStart"/>
      <w:r w:rsidR="001F4D43" w:rsidRPr="00D723FF">
        <w:t>were</w:t>
      </w:r>
      <w:proofErr w:type="spellEnd"/>
      <w:r w:rsidR="001F4D43" w:rsidRPr="00D723FF">
        <w:t xml:space="preserve"> </w:t>
      </w:r>
      <w:proofErr w:type="spellStart"/>
      <w:r w:rsidR="001F4D43" w:rsidRPr="00D723FF">
        <w:t>forced</w:t>
      </w:r>
      <w:proofErr w:type="spellEnd"/>
      <w:r w:rsidR="001F4D43" w:rsidRPr="00D723FF">
        <w:t xml:space="preserve"> to </w:t>
      </w:r>
      <w:proofErr w:type="spellStart"/>
      <w:r w:rsidR="001F4D43" w:rsidRPr="00D723FF">
        <w:t>rely</w:t>
      </w:r>
      <w:proofErr w:type="spellEnd"/>
      <w:r w:rsidR="001F4D43" w:rsidRPr="00D723FF">
        <w:t xml:space="preserve"> on </w:t>
      </w:r>
      <w:proofErr w:type="spellStart"/>
      <w:r w:rsidR="001F4D43" w:rsidRPr="00D723FF">
        <w:t>contaminated</w:t>
      </w:r>
      <w:proofErr w:type="spellEnd"/>
      <w:r w:rsidR="001F4D43" w:rsidRPr="00D723FF">
        <w:t xml:space="preserve"> water sources.¹ Such </w:t>
      </w:r>
      <w:proofErr w:type="spellStart"/>
      <w:r w:rsidR="001F4D43" w:rsidRPr="00D723FF">
        <w:t>circumstances</w:t>
      </w:r>
      <w:proofErr w:type="spellEnd"/>
      <w:r w:rsidR="001F4D43" w:rsidRPr="00D723FF">
        <w:t xml:space="preserve"> </w:t>
      </w:r>
      <w:proofErr w:type="spellStart"/>
      <w:r w:rsidR="001F4D43" w:rsidRPr="00D723FF">
        <w:t>may</w:t>
      </w:r>
      <w:proofErr w:type="spellEnd"/>
      <w:r w:rsidR="001F4D43" w:rsidRPr="00D723FF">
        <w:t xml:space="preserve"> </w:t>
      </w:r>
      <w:proofErr w:type="spellStart"/>
      <w:r w:rsidR="001F4D43" w:rsidRPr="00D723FF">
        <w:t>directly</w:t>
      </w:r>
      <w:proofErr w:type="spellEnd"/>
      <w:r w:rsidR="001F4D43" w:rsidRPr="00D723FF">
        <w:t xml:space="preserve"> affect conditions of life indispensable for </w:t>
      </w:r>
      <w:proofErr w:type="spellStart"/>
      <w:r w:rsidR="001F4D43" w:rsidRPr="00D723FF">
        <w:t>civilian</w:t>
      </w:r>
      <w:proofErr w:type="spellEnd"/>
      <w:r w:rsidR="001F4D43" w:rsidRPr="00D723FF">
        <w:t xml:space="preserve"> </w:t>
      </w:r>
      <w:proofErr w:type="spellStart"/>
      <w:r w:rsidR="001F4D43" w:rsidRPr="00D723FF">
        <w:t>survival</w:t>
      </w:r>
      <w:proofErr w:type="spellEnd"/>
      <w:r w:rsidR="001F4D43" w:rsidRPr="00D723FF">
        <w:t xml:space="preserve"> </w:t>
      </w:r>
      <w:proofErr w:type="spellStart"/>
      <w:r w:rsidR="001F4D43" w:rsidRPr="00D723FF">
        <w:t>within</w:t>
      </w:r>
      <w:proofErr w:type="spellEnd"/>
      <w:r w:rsidR="001F4D43" w:rsidRPr="00D723FF">
        <w:t xml:space="preserve"> the </w:t>
      </w:r>
      <w:proofErr w:type="spellStart"/>
      <w:r w:rsidR="001F4D43" w:rsidRPr="00D723FF">
        <w:t>meaning</w:t>
      </w:r>
      <w:proofErr w:type="spellEnd"/>
      <w:r w:rsidR="001F4D43" w:rsidRPr="00D723FF">
        <w:t xml:space="preserve"> of Article II(c)</w:t>
      </w:r>
      <w:r w:rsidR="00B22295" w:rsidRPr="00D723FF">
        <w:rPr>
          <w:lang w:val="nl-BE" w:eastAsia="en-US"/>
        </w:rPr>
        <w:t>.</w:t>
      </w:r>
      <w:r w:rsidR="001F4D43" w:rsidRPr="00D723FF">
        <w:rPr>
          <w:rStyle w:val="Voetnootmarkering"/>
          <w:lang w:val="nl-BE" w:eastAsia="en-US"/>
        </w:rPr>
        <w:footnoteReference w:id="187"/>
      </w:r>
      <w:r w:rsidR="00B22295" w:rsidRPr="00D723FF">
        <w:rPr>
          <w:lang w:val="nl-BE" w:eastAsia="en-US"/>
        </w:rPr>
        <w:t xml:space="preserve"> In this respect, the situation may resemble the forms of indirect destruction recognised in </w:t>
      </w:r>
      <w:r w:rsidR="00B22295" w:rsidRPr="00D723FF">
        <w:rPr>
          <w:i/>
          <w:iCs/>
          <w:lang w:val="nl-BE" w:eastAsia="en-US"/>
        </w:rPr>
        <w:t>Akayesu</w:t>
      </w:r>
      <w:r w:rsidR="00B22295" w:rsidRPr="00D723FF">
        <w:rPr>
          <w:lang w:val="nl-BE" w:eastAsia="en-US"/>
        </w:rPr>
        <w:t xml:space="preserve"> and reflected in the ICC Elements of Crimes.</w:t>
      </w:r>
      <w:r w:rsidR="00992354" w:rsidRPr="00D723FF">
        <w:rPr>
          <w:rStyle w:val="Voetnootmarkering"/>
          <w:lang w:val="nl-BE" w:eastAsia="en-US"/>
        </w:rPr>
        <w:footnoteReference w:id="188"/>
      </w:r>
    </w:p>
    <w:p w14:paraId="09FF3993" w14:textId="77777777" w:rsidR="00464663" w:rsidRPr="00D723FF" w:rsidRDefault="00464663" w:rsidP="00D723FF">
      <w:pPr>
        <w:spacing w:line="360" w:lineRule="auto"/>
        <w:jc w:val="both"/>
        <w:rPr>
          <w:lang w:val="nl-BE" w:eastAsia="en-US"/>
        </w:rPr>
      </w:pPr>
    </w:p>
    <w:p w14:paraId="1C659C3D" w14:textId="609EE4D2" w:rsidR="00B22295" w:rsidRPr="00D723FF" w:rsidRDefault="00C07635" w:rsidP="00D723FF">
      <w:pPr>
        <w:spacing w:line="360" w:lineRule="auto"/>
        <w:jc w:val="both"/>
        <w:rPr>
          <w:lang w:val="en-US"/>
        </w:rPr>
      </w:pPr>
      <w:r w:rsidRPr="00D723FF">
        <w:rPr>
          <w:lang w:val="nl-BE" w:eastAsia="en-US"/>
        </w:rPr>
        <w:t xml:space="preserve">(3) </w:t>
      </w:r>
      <w:r w:rsidR="00B22295" w:rsidRPr="00D723FF">
        <w:rPr>
          <w:lang w:val="nl-BE" w:eastAsia="en-US"/>
        </w:rPr>
        <w:t>The analysis must then determine whether the threshold of physical destruction is reached. Although the humanitarian consequences in Gaza have been severe, international jurisprudence requires more than displacement, hardship, or environmental devastation alone.</w:t>
      </w:r>
      <w:r w:rsidR="00992354" w:rsidRPr="00D723FF">
        <w:rPr>
          <w:rStyle w:val="Voetnootmarkering"/>
          <w:lang w:val="nl-BE" w:eastAsia="en-US"/>
        </w:rPr>
        <w:footnoteReference w:id="189"/>
      </w:r>
      <w:r w:rsidR="00B22295" w:rsidRPr="00D723FF">
        <w:rPr>
          <w:lang w:val="nl-BE" w:eastAsia="en-US"/>
        </w:rPr>
        <w:t xml:space="preserve"> The relevant question is whether the destruction creates living conditions incompatible with the continued physical survival of the group over time.</w:t>
      </w:r>
      <w:r w:rsidR="00992354" w:rsidRPr="00D723FF">
        <w:rPr>
          <w:lang w:val="nl-BE" w:eastAsia="en-US"/>
        </w:rPr>
        <w:t xml:space="preserve"> </w:t>
      </w:r>
      <w:r w:rsidR="00992354" w:rsidRPr="00D723FF">
        <w:rPr>
          <w:lang w:val="en-US"/>
        </w:rPr>
        <w:t>Nevertheless, international jurisprudence sets an exceptionally high threshold</w:t>
      </w:r>
      <w:r w:rsidR="00154EC3" w:rsidRPr="00D723FF">
        <w:rPr>
          <w:lang w:val="en-US"/>
        </w:rPr>
        <w:t xml:space="preserve">. </w:t>
      </w:r>
      <w:r w:rsidR="00201147">
        <w:rPr>
          <w:lang w:val="en-US"/>
        </w:rPr>
        <w:tab/>
      </w:r>
      <w:r w:rsidR="00201147">
        <w:rPr>
          <w:lang w:val="en-US"/>
        </w:rPr>
        <w:br/>
      </w:r>
      <w:r w:rsidR="00154EC3" w:rsidRPr="00D723FF">
        <w:lastRenderedPageBreak/>
        <w:t>Applied to the situation in Gaza</w:t>
      </w:r>
      <w:r w:rsidR="00154EC3" w:rsidRPr="00D723FF">
        <w:rPr>
          <w:lang w:val="en-US"/>
        </w:rPr>
        <w:t xml:space="preserve">, there are strong arguments that the threshold of physical destruction is reached. </w:t>
      </w:r>
      <w:r w:rsidR="00BD6302" w:rsidRPr="00BD6302">
        <w:t xml:space="preserve">The </w:t>
      </w:r>
      <w:proofErr w:type="spellStart"/>
      <w:r w:rsidR="00BD6302" w:rsidRPr="00BD6302">
        <w:t>lack</w:t>
      </w:r>
      <w:proofErr w:type="spellEnd"/>
      <w:r w:rsidR="00BD6302" w:rsidRPr="00BD6302">
        <w:t xml:space="preserve"> of </w:t>
      </w:r>
      <w:proofErr w:type="spellStart"/>
      <w:r w:rsidR="00BD6302" w:rsidRPr="00BD6302">
        <w:t>access</w:t>
      </w:r>
      <w:proofErr w:type="spellEnd"/>
      <w:r w:rsidR="00BD6302" w:rsidRPr="00BD6302">
        <w:t xml:space="preserve"> to clean water, </w:t>
      </w:r>
      <w:proofErr w:type="spellStart"/>
      <w:r w:rsidR="00BD6302" w:rsidRPr="00BD6302">
        <w:t>food</w:t>
      </w:r>
      <w:proofErr w:type="spellEnd"/>
      <w:r w:rsidR="00BD6302" w:rsidRPr="00BD6302">
        <w:t xml:space="preserve">, </w:t>
      </w:r>
      <w:proofErr w:type="spellStart"/>
      <w:r w:rsidR="00BD6302" w:rsidRPr="00BD6302">
        <w:t>medical</w:t>
      </w:r>
      <w:proofErr w:type="spellEnd"/>
      <w:r w:rsidR="00BD6302" w:rsidRPr="00BD6302">
        <w:t xml:space="preserve"> care, and habitable living conditions </w:t>
      </w:r>
      <w:proofErr w:type="spellStart"/>
      <w:r w:rsidR="00BD6302" w:rsidRPr="00BD6302">
        <w:t>suggests</w:t>
      </w:r>
      <w:proofErr w:type="spellEnd"/>
      <w:r w:rsidR="00BD6302" w:rsidRPr="00BD6302">
        <w:t xml:space="preserve"> </w:t>
      </w:r>
      <w:proofErr w:type="spellStart"/>
      <w:r w:rsidR="00BD6302" w:rsidRPr="00BD6302">
        <w:t>that</w:t>
      </w:r>
      <w:proofErr w:type="spellEnd"/>
      <w:r w:rsidR="00BD6302" w:rsidRPr="00BD6302">
        <w:t xml:space="preserve"> the situation </w:t>
      </w:r>
      <w:proofErr w:type="spellStart"/>
      <w:r w:rsidR="00BD6302" w:rsidRPr="00BD6302">
        <w:t>extends</w:t>
      </w:r>
      <w:proofErr w:type="spellEnd"/>
      <w:r w:rsidR="00BD6302" w:rsidRPr="00BD6302">
        <w:t xml:space="preserve"> </w:t>
      </w:r>
      <w:proofErr w:type="spellStart"/>
      <w:r w:rsidR="00BD6302" w:rsidRPr="00BD6302">
        <w:t>beyond</w:t>
      </w:r>
      <w:proofErr w:type="spellEnd"/>
      <w:r w:rsidR="00BD6302" w:rsidRPr="00BD6302">
        <w:t xml:space="preserve"> </w:t>
      </w:r>
      <w:proofErr w:type="spellStart"/>
      <w:r w:rsidR="00BD6302" w:rsidRPr="00BD6302">
        <w:t>mere</w:t>
      </w:r>
      <w:proofErr w:type="spellEnd"/>
      <w:r w:rsidR="00BD6302" w:rsidRPr="00BD6302">
        <w:t xml:space="preserve"> </w:t>
      </w:r>
      <w:proofErr w:type="spellStart"/>
      <w:r w:rsidR="00BD6302" w:rsidRPr="00BD6302">
        <w:t>humanitarian</w:t>
      </w:r>
      <w:proofErr w:type="spellEnd"/>
      <w:r w:rsidR="00BD6302" w:rsidRPr="00BD6302">
        <w:t xml:space="preserve"> </w:t>
      </w:r>
      <w:proofErr w:type="spellStart"/>
      <w:r w:rsidR="00BD6302" w:rsidRPr="00BD6302">
        <w:t>suffering</w:t>
      </w:r>
      <w:proofErr w:type="spellEnd"/>
      <w:r w:rsidR="00BD6302" w:rsidRPr="00BD6302">
        <w:t xml:space="preserve"> or </w:t>
      </w:r>
      <w:proofErr w:type="spellStart"/>
      <w:r w:rsidR="00BD6302" w:rsidRPr="00BD6302">
        <w:t>displacement</w:t>
      </w:r>
      <w:proofErr w:type="spellEnd"/>
      <w:r w:rsidR="00BD6302" w:rsidRPr="00BD6302">
        <w:t xml:space="preserve"> and </w:t>
      </w:r>
      <w:proofErr w:type="spellStart"/>
      <w:r w:rsidR="00BD6302" w:rsidRPr="00BD6302">
        <w:t>may</w:t>
      </w:r>
      <w:proofErr w:type="spellEnd"/>
      <w:r w:rsidR="00BD6302" w:rsidRPr="00BD6302">
        <w:t xml:space="preserve"> </w:t>
      </w:r>
      <w:proofErr w:type="spellStart"/>
      <w:r w:rsidR="00BD6302" w:rsidRPr="00BD6302">
        <w:t>amount</w:t>
      </w:r>
      <w:proofErr w:type="spellEnd"/>
      <w:r w:rsidR="00BD6302" w:rsidRPr="00BD6302">
        <w:t xml:space="preserve"> to conditions of life incompatible </w:t>
      </w:r>
      <w:proofErr w:type="spellStart"/>
      <w:r w:rsidR="00BD6302" w:rsidRPr="00BD6302">
        <w:t>with</w:t>
      </w:r>
      <w:proofErr w:type="spellEnd"/>
      <w:r w:rsidR="00BD6302" w:rsidRPr="00BD6302">
        <w:t xml:space="preserve"> the </w:t>
      </w:r>
      <w:proofErr w:type="spellStart"/>
      <w:r w:rsidR="00BD6302" w:rsidRPr="00BD6302">
        <w:t>sustained</w:t>
      </w:r>
      <w:proofErr w:type="spellEnd"/>
      <w:r w:rsidR="00BD6302" w:rsidRPr="00BD6302">
        <w:t xml:space="preserve"> </w:t>
      </w:r>
      <w:proofErr w:type="spellStart"/>
      <w:r w:rsidR="00BD6302" w:rsidRPr="00BD6302">
        <w:t>survival</w:t>
      </w:r>
      <w:proofErr w:type="spellEnd"/>
      <w:r w:rsidR="00BD6302" w:rsidRPr="00BD6302">
        <w:t xml:space="preserve"> of the </w:t>
      </w:r>
      <w:proofErr w:type="spellStart"/>
      <w:r w:rsidR="00BD6302" w:rsidRPr="00BD6302">
        <w:t>civilian</w:t>
      </w:r>
      <w:proofErr w:type="spellEnd"/>
      <w:r w:rsidR="00BD6302" w:rsidRPr="00BD6302">
        <w:t xml:space="preserve"> population over time</w:t>
      </w:r>
      <w:r w:rsidR="00154EC3" w:rsidRPr="00D723FF">
        <w:rPr>
          <w:lang w:val="en-US"/>
        </w:rPr>
        <w:t>.</w:t>
      </w:r>
      <w:r w:rsidR="00783172" w:rsidRPr="00D723FF">
        <w:rPr>
          <w:rStyle w:val="Voetnootmarkering"/>
          <w:lang w:val="en-US"/>
        </w:rPr>
        <w:footnoteReference w:id="190"/>
      </w:r>
    </w:p>
    <w:p w14:paraId="4FBA9577" w14:textId="77777777" w:rsidR="00464663" w:rsidRPr="00D723FF" w:rsidRDefault="00464663" w:rsidP="00D723FF">
      <w:pPr>
        <w:spacing w:line="360" w:lineRule="auto"/>
        <w:jc w:val="both"/>
        <w:rPr>
          <w:lang w:val="nl-BE" w:eastAsia="en-US"/>
        </w:rPr>
      </w:pPr>
    </w:p>
    <w:p w14:paraId="4FBFEE33" w14:textId="2F04F453" w:rsidR="00783172" w:rsidRPr="00D723FF" w:rsidRDefault="00C07635" w:rsidP="00D723FF">
      <w:pPr>
        <w:spacing w:line="360" w:lineRule="auto"/>
        <w:jc w:val="both"/>
        <w:rPr>
          <w:lang w:val="en-US"/>
        </w:rPr>
      </w:pPr>
      <w:r w:rsidRPr="00D723FF">
        <w:rPr>
          <w:lang w:val="en-US"/>
        </w:rPr>
        <w:t xml:space="preserve">(4) </w:t>
      </w:r>
      <w:r w:rsidR="00783172" w:rsidRPr="00D723FF">
        <w:rPr>
          <w:lang w:val="en-US"/>
        </w:rPr>
        <w:t>It must further be established whether the conduct specifically targets a protected group. In Gaza, the destruction primarily affects the Palestinian civilian population and the conditions necessary for its survival.</w:t>
      </w:r>
      <w:r w:rsidR="00783172" w:rsidRPr="00D723FF">
        <w:rPr>
          <w:rStyle w:val="Voetnootmarkering"/>
          <w:lang w:val="en-US"/>
        </w:rPr>
        <w:footnoteReference w:id="191"/>
      </w:r>
      <w:r w:rsidR="00783172" w:rsidRPr="00D723FF">
        <w:rPr>
          <w:lang w:val="en-US"/>
        </w:rPr>
        <w:t xml:space="preserve"> Palestinians constitute a protected national group under the Genocide Convention.</w:t>
      </w:r>
      <w:r w:rsidR="0006697F" w:rsidRPr="00D723FF">
        <w:rPr>
          <w:rStyle w:val="Voetnootmarkering"/>
          <w:lang w:val="en-US"/>
        </w:rPr>
        <w:footnoteReference w:id="192"/>
      </w:r>
      <w:r w:rsidR="00783172" w:rsidRPr="00D723FF">
        <w:rPr>
          <w:lang w:val="en-US"/>
        </w:rPr>
        <w:t xml:space="preserve"> The question therefore becomes whether this destruction merely results from the armed conflict or whether it is directed against the Palestinian population as such.</w:t>
      </w:r>
    </w:p>
    <w:p w14:paraId="2CB976BB" w14:textId="4680EF27" w:rsidR="004119FA" w:rsidRPr="004119FA" w:rsidRDefault="00D066D7" w:rsidP="004119FA">
      <w:pPr>
        <w:spacing w:line="360" w:lineRule="auto"/>
        <w:jc w:val="both"/>
        <w:rPr>
          <w:lang w:val="en-US" w:eastAsia="en-US"/>
        </w:rPr>
      </w:pPr>
      <w:r w:rsidRPr="00D723FF">
        <w:rPr>
          <w:lang w:val="en-US"/>
        </w:rPr>
        <w:br/>
      </w:r>
      <w:r w:rsidR="00C07635" w:rsidRPr="00D723FF">
        <w:rPr>
          <w:lang w:val="en-US"/>
        </w:rPr>
        <w:t xml:space="preserve">(5) </w:t>
      </w:r>
      <w:r w:rsidRPr="00D723FF">
        <w:rPr>
          <w:lang w:val="en-US"/>
        </w:rPr>
        <w:t xml:space="preserve">The decisive issue nevertheless remains the requirement of </w:t>
      </w:r>
      <w:r w:rsidRPr="00D723FF">
        <w:rPr>
          <w:rStyle w:val="Nadruk"/>
          <w:lang w:val="en-US"/>
        </w:rPr>
        <w:t xml:space="preserve">dolus </w:t>
      </w:r>
      <w:proofErr w:type="spellStart"/>
      <w:r w:rsidRPr="00D723FF">
        <w:rPr>
          <w:rStyle w:val="Nadruk"/>
          <w:lang w:val="en-US"/>
        </w:rPr>
        <w:t>specialis</w:t>
      </w:r>
      <w:proofErr w:type="spellEnd"/>
      <w:r w:rsidRPr="00D723FF">
        <w:rPr>
          <w:lang w:val="en-US"/>
        </w:rPr>
        <w:t>. Although the majority consider the allegations sufficiently serious to potentially fall within the scope of the Genocide Convention, the existence of genocidal intent in Gaza remains legally and politically contested.</w:t>
      </w:r>
      <w:r w:rsidR="00DE789E" w:rsidRPr="00D723FF">
        <w:rPr>
          <w:rStyle w:val="Voetnootmarkering"/>
          <w:lang w:val="en-US"/>
        </w:rPr>
        <w:footnoteReference w:id="193"/>
      </w:r>
      <w:r w:rsidRPr="00D723FF">
        <w:rPr>
          <w:lang w:val="en-US"/>
        </w:rPr>
        <w:t xml:space="preserve"> While the ICJ considered the rights asserted by South Africa to be at least plausible for the purpose of provisional measures, dissenting opinions such as that of Judge </w:t>
      </w:r>
      <w:proofErr w:type="spellStart"/>
      <w:r w:rsidRPr="00D723FF">
        <w:rPr>
          <w:lang w:val="en-US"/>
        </w:rPr>
        <w:t>Sebutinde</w:t>
      </w:r>
      <w:proofErr w:type="spellEnd"/>
      <w:r w:rsidRPr="00D723FF">
        <w:rPr>
          <w:lang w:val="en-US"/>
        </w:rPr>
        <w:t xml:space="preserve"> demonstrate that significant disagreement persists regarding the existence of the required genocidal intent.</w:t>
      </w:r>
      <w:r w:rsidRPr="00D723FF">
        <w:rPr>
          <w:rStyle w:val="Voetnootmarkering"/>
          <w:lang w:val="en-US"/>
        </w:rPr>
        <w:footnoteReference w:id="194"/>
      </w:r>
      <w:r w:rsidR="004D3F62" w:rsidRPr="00D723FF">
        <w:rPr>
          <w:lang w:val="en-US"/>
        </w:rPr>
        <w:tab/>
      </w:r>
      <w:r w:rsidR="00181DD2" w:rsidRPr="00D723FF">
        <w:rPr>
          <w:lang w:val="en-US"/>
        </w:rPr>
        <w:br/>
      </w:r>
      <w:r w:rsidR="00181DD2" w:rsidRPr="00D723FF">
        <w:rPr>
          <w:lang w:val="en-US"/>
        </w:rPr>
        <w:br/>
      </w:r>
      <w:r w:rsidR="00181DD2" w:rsidRPr="00D723FF">
        <w:rPr>
          <w:lang w:val="en-US" w:eastAsia="en-US"/>
        </w:rPr>
        <w:t xml:space="preserve">Overall, applying the framework developed above to the situation in Gaza demonstrates that environmental destruction may indeed become relevant under Article II(c) of the Genocide Convention. The large-scale destruction of infrastructure indispensable for civilian survival appears capable of satisfying several of the cumulative elements discussed above. </w:t>
      </w:r>
      <w:r w:rsidR="00AA0EF4">
        <w:rPr>
          <w:lang w:val="en-US" w:eastAsia="en-US"/>
        </w:rPr>
        <w:tab/>
      </w:r>
      <w:r w:rsidR="00AA0EF4">
        <w:rPr>
          <w:lang w:val="en-US" w:eastAsia="en-US"/>
        </w:rPr>
        <w:br/>
      </w:r>
      <w:r w:rsidR="00181DD2" w:rsidRPr="00D723FF">
        <w:rPr>
          <w:lang w:val="en-US" w:eastAsia="en-US"/>
        </w:rPr>
        <w:lastRenderedPageBreak/>
        <w:t>At the same time, the situation equally illustrates the exceptionally high threshold required under international law, regarding the establishment of genocidal intent.</w:t>
      </w:r>
    </w:p>
    <w:p w14:paraId="224DAF2D" w14:textId="03FEA23F" w:rsidR="000277AC" w:rsidRPr="00D723FF" w:rsidRDefault="00B50268" w:rsidP="00E16121">
      <w:pPr>
        <w:pStyle w:val="Kop1"/>
        <w:spacing w:line="360" w:lineRule="auto"/>
        <w:rPr>
          <w:rFonts w:ascii="Times New Roman" w:hAnsi="Times New Roman" w:cs="Times New Roman"/>
          <w:lang w:val="nl-BE" w:eastAsia="en-US"/>
        </w:rPr>
      </w:pPr>
      <w:bookmarkStart w:id="40" w:name="_Toc230376215"/>
      <w:r w:rsidRPr="00D723FF">
        <w:rPr>
          <w:rFonts w:ascii="Times New Roman" w:hAnsi="Times New Roman" w:cs="Times New Roman"/>
          <w:lang w:val="nl-BE" w:eastAsia="en-US"/>
        </w:rPr>
        <w:t>Con</w:t>
      </w:r>
      <w:r w:rsidR="0063689F" w:rsidRPr="00D723FF">
        <w:rPr>
          <w:rFonts w:ascii="Times New Roman" w:hAnsi="Times New Roman" w:cs="Times New Roman"/>
          <w:lang w:val="nl-BE" w:eastAsia="en-US"/>
        </w:rPr>
        <w:t>c</w:t>
      </w:r>
      <w:r w:rsidRPr="00D723FF">
        <w:rPr>
          <w:rFonts w:ascii="Times New Roman" w:hAnsi="Times New Roman" w:cs="Times New Roman"/>
          <w:lang w:val="nl-BE" w:eastAsia="en-US"/>
        </w:rPr>
        <w:t>lusion</w:t>
      </w:r>
      <w:bookmarkEnd w:id="40"/>
    </w:p>
    <w:p w14:paraId="3998B47F" w14:textId="550B9357" w:rsidR="00B50268" w:rsidRPr="00D723FF" w:rsidRDefault="00B50268" w:rsidP="00D723FF">
      <w:pPr>
        <w:spacing w:line="360" w:lineRule="auto"/>
        <w:jc w:val="both"/>
        <w:rPr>
          <w:lang w:val="nl-BE"/>
        </w:rPr>
      </w:pPr>
      <w:r w:rsidRPr="00D723FF">
        <w:rPr>
          <w:lang w:val="nl-BE"/>
        </w:rPr>
        <w:t xml:space="preserve">This research examined the central question of whether, and under which conditions, environmental destruction may fall within the definition of genocide under Article II(c) of the Genocide Convention. The analysis demonstrates that environmental destruction is not excluded from the scope of genocide under international law, but that its qualification as genocide remains subject to exceptionally strict legal requirements. </w:t>
      </w:r>
      <w:r w:rsidR="006757FD" w:rsidRPr="00D723FF">
        <w:rPr>
          <w:lang w:val="nl-BE"/>
        </w:rPr>
        <w:tab/>
      </w:r>
      <w:r w:rsidR="006757FD" w:rsidRPr="00D723FF">
        <w:rPr>
          <w:lang w:val="nl-BE"/>
        </w:rPr>
        <w:br/>
      </w:r>
    </w:p>
    <w:p w14:paraId="325130FF" w14:textId="6A634182" w:rsidR="00B50268" w:rsidRPr="00D723FF" w:rsidRDefault="00B50268" w:rsidP="00D723FF">
      <w:pPr>
        <w:spacing w:line="360" w:lineRule="auto"/>
        <w:jc w:val="both"/>
        <w:rPr>
          <w:lang w:val="nl-BE"/>
        </w:rPr>
      </w:pPr>
      <w:r w:rsidRPr="00D723FF">
        <w:rPr>
          <w:lang w:val="nl-BE"/>
        </w:rPr>
        <w:t xml:space="preserve">First, the research has shown that Article II(c) is capable of encompassing indirect methods of destruction. Through the interpretation of the notions </w:t>
      </w:r>
      <w:r w:rsidR="006757FD" w:rsidRPr="00D723FF">
        <w:rPr>
          <w:lang w:val="nl-BE"/>
        </w:rPr>
        <w:t>‘</w:t>
      </w:r>
      <w:r w:rsidRPr="00D723FF">
        <w:rPr>
          <w:lang w:val="nl-BE"/>
        </w:rPr>
        <w:t>conditions of life</w:t>
      </w:r>
      <w:r w:rsidR="006757FD" w:rsidRPr="00D723FF">
        <w:rPr>
          <w:lang w:val="nl-BE"/>
        </w:rPr>
        <w:t>’</w:t>
      </w:r>
      <w:r w:rsidRPr="00D723FF">
        <w:rPr>
          <w:lang w:val="nl-BE"/>
        </w:rPr>
        <w:t xml:space="preserve"> and </w:t>
      </w:r>
      <w:r w:rsidR="006757FD" w:rsidRPr="00D723FF">
        <w:rPr>
          <w:lang w:val="nl-BE"/>
        </w:rPr>
        <w:t>‘</w:t>
      </w:r>
      <w:r w:rsidRPr="00D723FF">
        <w:rPr>
          <w:lang w:val="nl-BE"/>
        </w:rPr>
        <w:t>physical destruction</w:t>
      </w:r>
      <w:r w:rsidR="006757FD" w:rsidRPr="00D723FF">
        <w:rPr>
          <w:lang w:val="nl-BE"/>
        </w:rPr>
        <w:t>’</w:t>
      </w:r>
      <w:r w:rsidRPr="00D723FF">
        <w:rPr>
          <w:lang w:val="nl-BE"/>
        </w:rPr>
        <w:t xml:space="preserve">, international jurisprudence confirms that genocide may be committed not only through direct killing, but also through the deliberate creation of living conditions incompatible with the survival of a protected group. In this respect, environmental destruction, such as the destruction of water systems, agricultural land, food supplies, or habitable territory, </w:t>
      </w:r>
      <w:r w:rsidR="006757FD" w:rsidRPr="00D723FF">
        <w:rPr>
          <w:lang w:val="nl-BE"/>
        </w:rPr>
        <w:t>can fall</w:t>
      </w:r>
      <w:r w:rsidRPr="00D723FF">
        <w:rPr>
          <w:lang w:val="nl-BE"/>
        </w:rPr>
        <w:t xml:space="preserve"> within the scope of Article II(c) where it deprives a group of the means necessary for its survival. </w:t>
      </w:r>
      <w:r w:rsidR="006757FD" w:rsidRPr="00D723FF">
        <w:rPr>
          <w:lang w:val="nl-BE"/>
        </w:rPr>
        <w:br/>
      </w:r>
    </w:p>
    <w:p w14:paraId="6FD17DB3" w14:textId="79295E8B" w:rsidR="00B50268" w:rsidRPr="00D723FF" w:rsidRDefault="00E16121" w:rsidP="00D723FF">
      <w:pPr>
        <w:spacing w:line="360" w:lineRule="auto"/>
        <w:jc w:val="both"/>
        <w:rPr>
          <w:lang w:val="nl-BE"/>
        </w:rPr>
      </w:pPr>
      <w:r>
        <w:rPr>
          <w:lang w:val="nl-BE"/>
        </w:rPr>
        <w:t>However</w:t>
      </w:r>
      <w:r w:rsidR="00B50268" w:rsidRPr="00D723FF">
        <w:rPr>
          <w:lang w:val="nl-BE"/>
        </w:rPr>
        <w:t xml:space="preserve">, the research demonstrates that important interpretative limits remain. International courts and tribunals consistently maintain a particularly high threshold for genocide. Environmental destruction, humanitarian suffering, forced displacement, or severe ecological harm do not automatically amount to genocide merely because they produce devastating consequences for civilian populations. The decisive factor is whether such destruction forms part of a process aimed at the physical destruction of a protected national, ethnical, racial, or religious group. </w:t>
      </w:r>
      <w:r w:rsidR="006757FD" w:rsidRPr="00D723FF">
        <w:rPr>
          <w:lang w:val="nl-BE"/>
        </w:rPr>
        <w:tab/>
      </w:r>
      <w:r w:rsidR="006757FD" w:rsidRPr="00D723FF">
        <w:rPr>
          <w:lang w:val="nl-BE"/>
        </w:rPr>
        <w:br/>
      </w:r>
    </w:p>
    <w:p w14:paraId="52D03EC7" w14:textId="49525058" w:rsidR="00B50268" w:rsidRPr="00D723FF" w:rsidRDefault="00B50268" w:rsidP="00D723FF">
      <w:pPr>
        <w:spacing w:line="360" w:lineRule="auto"/>
        <w:jc w:val="both"/>
        <w:rPr>
          <w:lang w:val="nl-BE"/>
        </w:rPr>
      </w:pPr>
      <w:r w:rsidRPr="00D723FF">
        <w:rPr>
          <w:lang w:val="nl-BE"/>
        </w:rPr>
        <w:t xml:space="preserve">The comparative analysis of the jurisprudence of the ICTR, ICTY, ICC, and ICJ further confirms this conclusion. While the ICTR recognised broader forms of indirect destruction under Article II(c), the ICTY and ICJ adopted a more restrictive interpretation by emphasising that genocide requires more than displacement, deprivation, or destruction alone. </w:t>
      </w:r>
      <w:r w:rsidR="00AA0EF4">
        <w:rPr>
          <w:lang w:val="nl-BE"/>
        </w:rPr>
        <w:tab/>
      </w:r>
      <w:r w:rsidR="00AA0EF4">
        <w:rPr>
          <w:lang w:val="nl-BE"/>
        </w:rPr>
        <w:br/>
      </w:r>
      <w:r w:rsidR="00AA0EF4">
        <w:rPr>
          <w:lang w:val="nl-BE"/>
        </w:rPr>
        <w:br/>
      </w:r>
      <w:r w:rsidRPr="00D723FF">
        <w:rPr>
          <w:lang w:val="nl-BE"/>
        </w:rPr>
        <w:lastRenderedPageBreak/>
        <w:t xml:space="preserve">The ICC’s approach in </w:t>
      </w:r>
      <w:r w:rsidRPr="00D723FF">
        <w:rPr>
          <w:i/>
          <w:iCs/>
          <w:lang w:val="nl-BE"/>
        </w:rPr>
        <w:t>Al Bashir</w:t>
      </w:r>
      <w:r w:rsidRPr="00D723FF">
        <w:rPr>
          <w:lang w:val="nl-BE"/>
        </w:rPr>
        <w:t xml:space="preserve"> nevertheless illustrates that the destruction of resources indispensable for survival may become relevant under Article II(c) where such conduct forms part of a broader genocidal campaign. </w:t>
      </w:r>
      <w:r w:rsidR="00AA0EF4">
        <w:rPr>
          <w:lang w:val="nl-BE"/>
        </w:rPr>
        <w:tab/>
      </w:r>
      <w:r w:rsidR="006757FD" w:rsidRPr="00D723FF">
        <w:rPr>
          <w:lang w:val="nl-BE"/>
        </w:rPr>
        <w:br/>
      </w:r>
    </w:p>
    <w:p w14:paraId="1A0530C9" w14:textId="18A1C97B" w:rsidR="00B50268" w:rsidRPr="00D723FF" w:rsidRDefault="0063689F" w:rsidP="00D723FF">
      <w:pPr>
        <w:spacing w:line="360" w:lineRule="auto"/>
        <w:jc w:val="both"/>
        <w:rPr>
          <w:lang w:val="nl-BE"/>
        </w:rPr>
      </w:pPr>
      <w:r w:rsidRPr="00D723FF">
        <w:rPr>
          <w:lang w:val="nl-BE"/>
        </w:rPr>
        <w:t>Crucially</w:t>
      </w:r>
      <w:r w:rsidR="00B50268" w:rsidRPr="00D723FF">
        <w:rPr>
          <w:lang w:val="nl-BE"/>
        </w:rPr>
        <w:t xml:space="preserve">, this research has demonstrated </w:t>
      </w:r>
      <w:r w:rsidR="00E16121">
        <w:rPr>
          <w:lang w:val="nl-BE"/>
        </w:rPr>
        <w:t>all of</w:t>
      </w:r>
      <w:r w:rsidR="006757FD" w:rsidRPr="00D723FF">
        <w:rPr>
          <w:lang w:val="nl-BE"/>
        </w:rPr>
        <w:t xml:space="preserve"> the requirements in combination with the</w:t>
      </w:r>
      <w:r w:rsidR="00B50268" w:rsidRPr="00D723FF">
        <w:rPr>
          <w:lang w:val="nl-BE"/>
        </w:rPr>
        <w:t xml:space="preserve"> </w:t>
      </w:r>
      <w:r w:rsidR="00B50268" w:rsidRPr="00D723FF">
        <w:rPr>
          <w:i/>
          <w:iCs/>
          <w:lang w:val="nl-BE"/>
        </w:rPr>
        <w:t>dolus specialis</w:t>
      </w:r>
      <w:r w:rsidR="00B50268" w:rsidRPr="00D723FF">
        <w:rPr>
          <w:lang w:val="nl-BE"/>
        </w:rPr>
        <w:t xml:space="preserve"> remain </w:t>
      </w:r>
      <w:r w:rsidR="006757FD" w:rsidRPr="00D723FF">
        <w:rPr>
          <w:lang w:val="nl-BE"/>
        </w:rPr>
        <w:t>very difficult</w:t>
      </w:r>
      <w:r w:rsidR="00B50268" w:rsidRPr="00D723FF">
        <w:rPr>
          <w:lang w:val="nl-BE"/>
        </w:rPr>
        <w:t xml:space="preserve"> in cases involving environmental destruction. It is not sufficient that environmental harm creates life-threatening conditions</w:t>
      </w:r>
      <w:r w:rsidR="006757FD" w:rsidRPr="00D723FF">
        <w:rPr>
          <w:lang w:val="nl-BE"/>
        </w:rPr>
        <w:t>.</w:t>
      </w:r>
      <w:r w:rsidR="00B50268" w:rsidRPr="00D723FF">
        <w:rPr>
          <w:lang w:val="nl-BE"/>
        </w:rPr>
        <w:t xml:space="preserve"> </w:t>
      </w:r>
      <w:r w:rsidR="006757FD" w:rsidRPr="00D723FF">
        <w:rPr>
          <w:lang w:val="nl-BE"/>
        </w:rPr>
        <w:t>T</w:t>
      </w:r>
      <w:r w:rsidR="00B50268" w:rsidRPr="00D723FF">
        <w:rPr>
          <w:lang w:val="nl-BE"/>
        </w:rPr>
        <w:t>he destruction must be carried out with the specific intent to physically destroy the protected group, in whole or in part</w:t>
      </w:r>
      <w:r w:rsidR="006757FD" w:rsidRPr="00D723FF">
        <w:rPr>
          <w:lang w:val="nl-BE"/>
        </w:rPr>
        <w:t>, and this must also be proven.</w:t>
      </w:r>
      <w:r w:rsidR="00B50268" w:rsidRPr="00D723FF">
        <w:rPr>
          <w:lang w:val="nl-BE"/>
        </w:rPr>
        <w:t xml:space="preserve"> </w:t>
      </w:r>
      <w:r w:rsidRPr="00D723FF">
        <w:rPr>
          <w:lang w:val="nl-BE"/>
        </w:rPr>
        <w:t>As</w:t>
      </w:r>
      <w:r w:rsidR="00B50268" w:rsidRPr="00D723FF">
        <w:rPr>
          <w:lang w:val="nl-BE"/>
        </w:rPr>
        <w:t xml:space="preserve"> environmental destruction often occurs in the context of broader military operations or strategic objectives, proving this genocidal intent remains exceptionally difficult in practice. </w:t>
      </w:r>
      <w:r w:rsidR="00E16121">
        <w:rPr>
          <w:lang w:val="nl-BE"/>
        </w:rPr>
        <w:br/>
      </w:r>
    </w:p>
    <w:p w14:paraId="52F87164" w14:textId="7548571D" w:rsidR="006757FD" w:rsidRPr="00D723FF" w:rsidRDefault="00B50268" w:rsidP="00D723FF">
      <w:pPr>
        <w:spacing w:line="360" w:lineRule="auto"/>
        <w:jc w:val="both"/>
        <w:rPr>
          <w:lang w:val="nl-BE"/>
        </w:rPr>
      </w:pPr>
      <w:r w:rsidRPr="00D723FF">
        <w:rPr>
          <w:lang w:val="nl-BE"/>
        </w:rPr>
        <w:t xml:space="preserve">Finally, the research has shown the importance of maintaining a distinction between genocide and ecocide. Although both concepts may overlap where severe environmental destruction affects civilian populations, genocide protects human groups, whereas ecocide primarily concerns the protection of the environment itself. Severe environmental destruction therefore does not automatically constitute genocide under current international law. </w:t>
      </w:r>
      <w:r w:rsidR="006757FD" w:rsidRPr="00D723FF">
        <w:rPr>
          <w:lang w:val="nl-BE"/>
        </w:rPr>
        <w:tab/>
      </w:r>
      <w:r w:rsidR="006757FD" w:rsidRPr="00D723FF">
        <w:rPr>
          <w:lang w:val="nl-BE"/>
        </w:rPr>
        <w:br/>
      </w:r>
    </w:p>
    <w:p w14:paraId="6F1CCE8C" w14:textId="282889E6" w:rsidR="00940076" w:rsidRDefault="00B50268" w:rsidP="00940076">
      <w:pPr>
        <w:spacing w:line="360" w:lineRule="auto"/>
        <w:jc w:val="both"/>
        <w:rPr>
          <w:lang w:val="nl-BE"/>
        </w:rPr>
      </w:pPr>
      <w:r w:rsidRPr="00D723FF">
        <w:rPr>
          <w:lang w:val="nl-BE"/>
        </w:rPr>
        <w:t xml:space="preserve">In conclusion, this research confirms that environmental destruction may, under exceptional circumstances, fall within the scope of Article II(c) of the Genocide Convention. This is only possible where environmental destruction deliberately targets the conditions necessary for the survival of a protected group and forms part of a process aimed at its physical destruction. The existing legal framework therefore allows for the inclusion of indirect and contemporary methods of destruction, </w:t>
      </w:r>
      <w:r w:rsidR="0063689F" w:rsidRPr="00D723FF">
        <w:rPr>
          <w:lang w:val="nl-BE"/>
        </w:rPr>
        <w:t>whereas</w:t>
      </w:r>
      <w:r w:rsidRPr="00D723FF">
        <w:rPr>
          <w:lang w:val="nl-BE"/>
        </w:rPr>
        <w:t xml:space="preserve"> </w:t>
      </w:r>
      <w:r w:rsidR="00E16121">
        <w:rPr>
          <w:lang w:val="nl-BE"/>
        </w:rPr>
        <w:t xml:space="preserve">simultaneously </w:t>
      </w:r>
      <w:r w:rsidRPr="00D723FF">
        <w:rPr>
          <w:lang w:val="nl-BE"/>
        </w:rPr>
        <w:t>preserving the strict and exceptional character of the crime of genocide under international law.</w:t>
      </w:r>
      <w:r w:rsidR="00E16121" w:rsidRPr="00E16121">
        <w:rPr>
          <w:rFonts w:ascii="Roboto" w:hAnsi="Roboto"/>
          <w:color w:val="444746"/>
          <w:spacing w:val="3"/>
          <w:sz w:val="21"/>
          <w:szCs w:val="21"/>
        </w:rPr>
        <w:t xml:space="preserve"> </w:t>
      </w:r>
      <w:r w:rsidR="00E16121" w:rsidRPr="00E16121">
        <w:t xml:space="preserve">The </w:t>
      </w:r>
      <w:proofErr w:type="spellStart"/>
      <w:r w:rsidR="00E16121" w:rsidRPr="00E16121">
        <w:t>contemporary</w:t>
      </w:r>
      <w:proofErr w:type="spellEnd"/>
      <w:r w:rsidR="00E16121" w:rsidRPr="00E16121">
        <w:t xml:space="preserve"> </w:t>
      </w:r>
      <w:proofErr w:type="spellStart"/>
      <w:r w:rsidR="00E16121" w:rsidRPr="00E16121">
        <w:t>debate</w:t>
      </w:r>
      <w:proofErr w:type="spellEnd"/>
      <w:r w:rsidR="00E16121" w:rsidRPr="00E16121">
        <w:t xml:space="preserve"> </w:t>
      </w:r>
      <w:proofErr w:type="spellStart"/>
      <w:r w:rsidR="00E16121" w:rsidRPr="00E16121">
        <w:t>surrounding</w:t>
      </w:r>
      <w:proofErr w:type="spellEnd"/>
      <w:r w:rsidR="00E16121" w:rsidRPr="00E16121">
        <w:t xml:space="preserve"> the situation in Gaza </w:t>
      </w:r>
      <w:proofErr w:type="spellStart"/>
      <w:r w:rsidR="00E16121" w:rsidRPr="00E16121">
        <w:t>further</w:t>
      </w:r>
      <w:proofErr w:type="spellEnd"/>
      <w:r w:rsidR="00E16121" w:rsidRPr="00E16121">
        <w:t xml:space="preserve"> </w:t>
      </w:r>
      <w:proofErr w:type="spellStart"/>
      <w:r w:rsidR="00E16121" w:rsidRPr="00E16121">
        <w:t>illustrates</w:t>
      </w:r>
      <w:proofErr w:type="spellEnd"/>
      <w:r w:rsidR="00E16121" w:rsidRPr="00E16121">
        <w:t xml:space="preserve"> </w:t>
      </w:r>
      <w:proofErr w:type="spellStart"/>
      <w:r w:rsidR="00E16121" w:rsidRPr="00E16121">
        <w:t>both</w:t>
      </w:r>
      <w:proofErr w:type="spellEnd"/>
      <w:r w:rsidR="00E16121" w:rsidRPr="00E16121">
        <w:t xml:space="preserve"> the </w:t>
      </w:r>
      <w:proofErr w:type="spellStart"/>
      <w:r w:rsidR="00E16121" w:rsidRPr="00E16121">
        <w:t>potential</w:t>
      </w:r>
      <w:proofErr w:type="spellEnd"/>
      <w:r w:rsidR="00E16121" w:rsidRPr="00E16121">
        <w:t xml:space="preserve"> relevance of </w:t>
      </w:r>
      <w:proofErr w:type="spellStart"/>
      <w:r w:rsidR="00E16121" w:rsidRPr="00E16121">
        <w:t>environmental</w:t>
      </w:r>
      <w:proofErr w:type="spellEnd"/>
      <w:r w:rsidR="00E16121" w:rsidRPr="00E16121">
        <w:t xml:space="preserve"> destruction </w:t>
      </w:r>
      <w:proofErr w:type="spellStart"/>
      <w:r w:rsidR="00E16121" w:rsidRPr="00E16121">
        <w:t>under</w:t>
      </w:r>
      <w:proofErr w:type="spellEnd"/>
      <w:r w:rsidR="00E16121" w:rsidRPr="00E16121">
        <w:t xml:space="preserve"> Article II(c) and the </w:t>
      </w:r>
      <w:proofErr w:type="spellStart"/>
      <w:r w:rsidR="00E16121" w:rsidRPr="00E16121">
        <w:t>exceptionally</w:t>
      </w:r>
      <w:proofErr w:type="spellEnd"/>
      <w:r w:rsidR="00E16121" w:rsidRPr="00E16121">
        <w:t xml:space="preserve"> high </w:t>
      </w:r>
      <w:proofErr w:type="spellStart"/>
      <w:r w:rsidR="00E16121" w:rsidRPr="00E16121">
        <w:t>threshold</w:t>
      </w:r>
      <w:proofErr w:type="spellEnd"/>
      <w:r w:rsidR="00E16121" w:rsidRPr="00E16121">
        <w:t xml:space="preserve"> for </w:t>
      </w:r>
      <w:proofErr w:type="spellStart"/>
      <w:r w:rsidR="00E16121" w:rsidRPr="00E16121">
        <w:t>establishing</w:t>
      </w:r>
      <w:proofErr w:type="spellEnd"/>
      <w:r w:rsidR="00E16121" w:rsidRPr="00E16121">
        <w:t xml:space="preserve"> </w:t>
      </w:r>
      <w:proofErr w:type="spellStart"/>
      <w:r w:rsidR="00E16121" w:rsidRPr="00E16121">
        <w:t>genocide</w:t>
      </w:r>
      <w:proofErr w:type="spellEnd"/>
      <w:r w:rsidR="00E16121" w:rsidRPr="00E16121">
        <w:t xml:space="preserve"> </w:t>
      </w:r>
      <w:proofErr w:type="spellStart"/>
      <w:r w:rsidR="00E16121" w:rsidRPr="00E16121">
        <w:t>under</w:t>
      </w:r>
      <w:proofErr w:type="spellEnd"/>
      <w:r w:rsidR="00E16121" w:rsidRPr="00E16121">
        <w:t xml:space="preserve"> international </w:t>
      </w:r>
      <w:proofErr w:type="spellStart"/>
      <w:r w:rsidR="00E16121" w:rsidRPr="00E16121">
        <w:t>law</w:t>
      </w:r>
      <w:proofErr w:type="spellEnd"/>
      <w:r w:rsidR="00E16121" w:rsidRPr="00E16121">
        <w:t>.</w:t>
      </w:r>
      <w:r w:rsidR="00940076">
        <w:br/>
      </w:r>
      <w:r w:rsidR="00940076">
        <w:br/>
      </w:r>
    </w:p>
    <w:p w14:paraId="2ABB8FDA" w14:textId="77777777" w:rsidR="00940076" w:rsidRPr="00940076" w:rsidRDefault="00940076" w:rsidP="00940076">
      <w:pPr>
        <w:spacing w:line="360" w:lineRule="auto"/>
        <w:jc w:val="both"/>
        <w:rPr>
          <w:lang w:val="nl-BE"/>
        </w:rPr>
      </w:pPr>
    </w:p>
    <w:p w14:paraId="04937C21" w14:textId="38FA22FB" w:rsidR="00D50C89" w:rsidRPr="00FB05CB" w:rsidRDefault="00D50C89" w:rsidP="00FB05CB">
      <w:pPr>
        <w:pStyle w:val="Kop1"/>
        <w:spacing w:beforeLines="120" w:before="288" w:line="240" w:lineRule="auto"/>
        <w:jc w:val="both"/>
        <w:rPr>
          <w:rFonts w:ascii="Times New Roman" w:hAnsi="Times New Roman" w:cs="Times New Roman"/>
        </w:rPr>
      </w:pPr>
      <w:bookmarkStart w:id="41" w:name="_Toc230376216"/>
      <w:r w:rsidRPr="00FB05CB">
        <w:rPr>
          <w:rFonts w:ascii="Times New Roman" w:hAnsi="Times New Roman" w:cs="Times New Roman"/>
        </w:rPr>
        <w:lastRenderedPageBreak/>
        <w:t>Bibliography</w:t>
      </w:r>
      <w:bookmarkEnd w:id="41"/>
    </w:p>
    <w:p w14:paraId="290DAFAB" w14:textId="2EDF1E6F" w:rsidR="00D50C89" w:rsidRPr="00FB05CB" w:rsidRDefault="00460A30" w:rsidP="00FB05CB">
      <w:pPr>
        <w:pStyle w:val="Kop2"/>
        <w:spacing w:beforeLines="120" w:before="288" w:line="240" w:lineRule="auto"/>
        <w:jc w:val="both"/>
        <w:rPr>
          <w:rFonts w:ascii="Times New Roman" w:hAnsi="Times New Roman" w:cs="Times New Roman"/>
          <w:b/>
          <w:bCs/>
        </w:rPr>
      </w:pPr>
      <w:bookmarkStart w:id="42" w:name="_bookmark17"/>
      <w:bookmarkEnd w:id="42"/>
      <w:r w:rsidRPr="00FB05CB">
        <w:rPr>
          <w:rFonts w:ascii="Times New Roman" w:hAnsi="Times New Roman" w:cs="Times New Roman"/>
          <w:b/>
          <w:bCs/>
        </w:rPr>
        <w:br/>
      </w:r>
      <w:bookmarkStart w:id="43" w:name="_Toc230376217"/>
      <w:proofErr w:type="spellStart"/>
      <w:r w:rsidR="00D50C89" w:rsidRPr="00FB05CB">
        <w:rPr>
          <w:rFonts w:ascii="Times New Roman" w:hAnsi="Times New Roman" w:cs="Times New Roman"/>
          <w:b/>
          <w:bCs/>
        </w:rPr>
        <w:t>Legislation</w:t>
      </w:r>
      <w:bookmarkEnd w:id="43"/>
      <w:proofErr w:type="spellEnd"/>
      <w:r w:rsidR="00FB05CB" w:rsidRPr="00FB05CB">
        <w:rPr>
          <w:rFonts w:ascii="Times New Roman" w:hAnsi="Times New Roman" w:cs="Times New Roman"/>
          <w:b/>
          <w:bCs/>
        </w:rPr>
        <w:br/>
      </w:r>
    </w:p>
    <w:p w14:paraId="0CA9824C" w14:textId="4EDA1CB5" w:rsidR="00460A30" w:rsidRPr="00FB05CB" w:rsidRDefault="00460A30" w:rsidP="00CA0672">
      <w:pPr>
        <w:pStyle w:val="Plattetekst"/>
        <w:spacing w:beforeLines="120" w:before="288" w:line="360" w:lineRule="auto"/>
        <w:ind w:left="23" w:right="139"/>
        <w:jc w:val="both"/>
        <w:rPr>
          <w:lang w:val="nl-BE"/>
        </w:rPr>
      </w:pPr>
      <w:bookmarkStart w:id="44" w:name="_bookmark18"/>
      <w:bookmarkEnd w:id="44"/>
      <w:r w:rsidRPr="00FB05CB">
        <w:rPr>
          <w:lang w:val="nl-BE"/>
        </w:rPr>
        <w:t xml:space="preserve">Convention on the Prevention and Punishment of the Crime of Genocide (adopted 9 December </w:t>
      </w:r>
      <w:r w:rsidRPr="00FB05CB">
        <w:rPr>
          <w:lang w:val="nl-BE"/>
        </w:rPr>
        <w:tab/>
        <w:t>1948, entered into force 12 January 1951) 78 UNTS 277</w:t>
      </w:r>
      <w:r w:rsidRPr="00FB05CB">
        <w:rPr>
          <w:lang w:val="nl-BE"/>
        </w:rPr>
        <w:tab/>
      </w:r>
    </w:p>
    <w:p w14:paraId="5DF864B7" w14:textId="208C230C" w:rsidR="00460A30" w:rsidRPr="00FB05CB" w:rsidRDefault="00460A30" w:rsidP="00CA0672">
      <w:pPr>
        <w:pStyle w:val="Plattetekst"/>
        <w:spacing w:beforeLines="120" w:before="288" w:line="360" w:lineRule="auto"/>
        <w:ind w:left="23" w:right="139"/>
        <w:jc w:val="both"/>
        <w:rPr>
          <w:lang w:val="nl-BE"/>
        </w:rPr>
      </w:pPr>
      <w:r w:rsidRPr="00FB05CB">
        <w:rPr>
          <w:lang w:val="nl-BE"/>
        </w:rPr>
        <w:t xml:space="preserve">Convention on the Prohibition of Military or Any Other Hostile Use of Environmental </w:t>
      </w:r>
      <w:r w:rsidRPr="00FB05CB">
        <w:rPr>
          <w:lang w:val="nl-BE"/>
        </w:rPr>
        <w:tab/>
        <w:t xml:space="preserve">Modification Techniques (opened for signature 18 May 1977, entered into force 5 </w:t>
      </w:r>
      <w:r w:rsidRPr="00FB05CB">
        <w:rPr>
          <w:lang w:val="nl-BE"/>
        </w:rPr>
        <w:tab/>
        <w:t>October 1978) 1108 UNTS 151</w:t>
      </w:r>
      <w:r w:rsidRPr="00FB05CB">
        <w:rPr>
          <w:lang w:val="nl-BE"/>
        </w:rPr>
        <w:tab/>
      </w:r>
    </w:p>
    <w:p w14:paraId="1D3CA8C8" w14:textId="3B294E4A" w:rsidR="00460A30" w:rsidRPr="00FB05CB" w:rsidRDefault="00460A30" w:rsidP="00CA0672">
      <w:pPr>
        <w:pStyle w:val="Plattetekst"/>
        <w:spacing w:beforeLines="120" w:before="288" w:line="360" w:lineRule="auto"/>
        <w:ind w:left="23" w:right="139"/>
        <w:jc w:val="both"/>
        <w:rPr>
          <w:lang w:val="nl-BE"/>
        </w:rPr>
      </w:pPr>
      <w:r w:rsidRPr="00FB05CB">
        <w:rPr>
          <w:lang w:val="nl-BE"/>
        </w:rPr>
        <w:t xml:space="preserve">Protocol Additional to the Geneva Conventions of 12 August 1949, and relating to the </w:t>
      </w:r>
      <w:r w:rsidRPr="00FB05CB">
        <w:rPr>
          <w:lang w:val="nl-BE"/>
        </w:rPr>
        <w:tab/>
        <w:t xml:space="preserve">Protection of Victims of International Armed Conflicts (Protocol I) (adopted 8 June </w:t>
      </w:r>
      <w:r w:rsidRPr="00FB05CB">
        <w:rPr>
          <w:lang w:val="nl-BE"/>
        </w:rPr>
        <w:tab/>
        <w:t>1977, entered into force 7 December 1978) 1125 UNTS 3</w:t>
      </w:r>
      <w:r w:rsidRPr="00FB05CB">
        <w:rPr>
          <w:lang w:val="nl-BE"/>
        </w:rPr>
        <w:tab/>
      </w:r>
    </w:p>
    <w:p w14:paraId="3B23D480" w14:textId="3AAD38F0" w:rsidR="00460A30" w:rsidRPr="00FB05CB" w:rsidRDefault="00460A30" w:rsidP="00CA0672">
      <w:pPr>
        <w:pStyle w:val="Plattetekst"/>
        <w:spacing w:beforeLines="120" w:before="288" w:line="360" w:lineRule="auto"/>
        <w:ind w:left="23" w:right="139"/>
        <w:jc w:val="both"/>
        <w:rPr>
          <w:lang w:val="nl-BE"/>
        </w:rPr>
      </w:pPr>
      <w:r w:rsidRPr="00FB05CB">
        <w:rPr>
          <w:lang w:val="nl-BE"/>
        </w:rPr>
        <w:t xml:space="preserve">Rome Statute of the International Criminal Court (adopted 17 July 1998, entered into force 1 </w:t>
      </w:r>
      <w:r w:rsidRPr="00FB05CB">
        <w:rPr>
          <w:lang w:val="nl-BE"/>
        </w:rPr>
        <w:tab/>
        <w:t>July 2002) 2187 UNTS 90</w:t>
      </w:r>
      <w:r w:rsidRPr="00FB05CB">
        <w:rPr>
          <w:lang w:val="nl-BE"/>
        </w:rPr>
        <w:tab/>
      </w:r>
    </w:p>
    <w:p w14:paraId="689C1627" w14:textId="226E10AD" w:rsidR="00460A30" w:rsidRPr="00FB05CB" w:rsidRDefault="00460A30" w:rsidP="00CA0672">
      <w:pPr>
        <w:pStyle w:val="Plattetekst"/>
        <w:spacing w:beforeLines="120" w:before="288" w:line="360" w:lineRule="auto"/>
        <w:ind w:left="23" w:right="139"/>
        <w:jc w:val="both"/>
        <w:rPr>
          <w:lang w:val="nl-BE"/>
        </w:rPr>
      </w:pPr>
      <w:r w:rsidRPr="00FB05CB">
        <w:rPr>
          <w:lang w:val="nl-BE"/>
        </w:rPr>
        <w:t xml:space="preserve">Statute of the International Court of Justice (adopted 26 June 1945, entered into force 24 </w:t>
      </w:r>
      <w:r w:rsidRPr="00FB05CB">
        <w:rPr>
          <w:lang w:val="nl-BE"/>
        </w:rPr>
        <w:tab/>
        <w:t>October 1945) 1 UNTS XVI</w:t>
      </w:r>
      <w:r w:rsidRPr="00FB05CB">
        <w:rPr>
          <w:lang w:val="nl-BE"/>
        </w:rPr>
        <w:tab/>
      </w:r>
    </w:p>
    <w:p w14:paraId="470AC656" w14:textId="77777777" w:rsidR="00460A30" w:rsidRPr="00FB05CB" w:rsidRDefault="00460A30" w:rsidP="00CA0672">
      <w:pPr>
        <w:pStyle w:val="Plattetekst"/>
        <w:spacing w:beforeLines="120" w:before="288" w:line="360" w:lineRule="auto"/>
        <w:ind w:left="23" w:right="139"/>
        <w:jc w:val="both"/>
        <w:rPr>
          <w:lang w:val="nl-BE"/>
        </w:rPr>
      </w:pPr>
      <w:r w:rsidRPr="00FB05CB">
        <w:rPr>
          <w:lang w:val="nl-BE"/>
        </w:rPr>
        <w:t xml:space="preserve">Vienna Convention on the Law of Treaties (adopted 23 May 1969, entered into force 27 January </w:t>
      </w:r>
      <w:r w:rsidRPr="00FB05CB">
        <w:rPr>
          <w:lang w:val="nl-BE"/>
        </w:rPr>
        <w:tab/>
        <w:t>1980) 1155 UNTS 331</w:t>
      </w:r>
    </w:p>
    <w:p w14:paraId="6085695C" w14:textId="0367A7DD" w:rsidR="00D50C89" w:rsidRPr="00FB05CB" w:rsidRDefault="00460A30" w:rsidP="00FB05CB">
      <w:pPr>
        <w:pStyle w:val="Kop2"/>
        <w:spacing w:beforeLines="120" w:before="288" w:line="240" w:lineRule="auto"/>
        <w:jc w:val="both"/>
        <w:rPr>
          <w:rFonts w:ascii="Times New Roman" w:hAnsi="Times New Roman" w:cs="Times New Roman"/>
          <w:b/>
          <w:bCs/>
        </w:rPr>
      </w:pPr>
      <w:r w:rsidRPr="00FB05CB">
        <w:rPr>
          <w:rFonts w:ascii="Times New Roman" w:hAnsi="Times New Roman" w:cs="Times New Roman"/>
          <w:lang w:val="nl-BE"/>
        </w:rPr>
        <w:br/>
      </w:r>
      <w:bookmarkStart w:id="45" w:name="_Toc230376218"/>
      <w:r w:rsidRPr="00FB05CB">
        <w:rPr>
          <w:rFonts w:ascii="Times New Roman" w:hAnsi="Times New Roman" w:cs="Times New Roman"/>
          <w:b/>
          <w:bCs/>
          <w:lang w:val="nl-BE"/>
        </w:rPr>
        <w:t>Official documents</w:t>
      </w:r>
      <w:bookmarkEnd w:id="45"/>
      <w:r w:rsidRPr="00FB05CB">
        <w:rPr>
          <w:rFonts w:ascii="Times New Roman" w:hAnsi="Times New Roman" w:cs="Times New Roman"/>
          <w:b/>
          <w:bCs/>
          <w:lang w:val="nl-BE"/>
        </w:rPr>
        <w:tab/>
      </w:r>
      <w:r w:rsidRPr="00FB05CB">
        <w:rPr>
          <w:rFonts w:ascii="Times New Roman" w:hAnsi="Times New Roman" w:cs="Times New Roman"/>
          <w:b/>
          <w:bCs/>
          <w:lang w:val="nl-BE"/>
        </w:rPr>
        <w:br/>
      </w:r>
    </w:p>
    <w:p w14:paraId="4FA511C8" w14:textId="73828D3E" w:rsidR="00460A30" w:rsidRPr="00FB05CB" w:rsidRDefault="00460A30" w:rsidP="00CA0672">
      <w:pPr>
        <w:pStyle w:val="Normaalweb"/>
        <w:spacing w:beforeLines="120" w:before="288" w:after="0" w:line="360" w:lineRule="auto"/>
        <w:jc w:val="both"/>
        <w:rPr>
          <w:rFonts w:cs="Times New Roman"/>
          <w:lang w:eastAsia="nl-NL"/>
        </w:rPr>
      </w:pPr>
      <w:r w:rsidRPr="00FB05CB">
        <w:rPr>
          <w:rFonts w:cs="Times New Roman"/>
        </w:rPr>
        <w:t xml:space="preserve">ILC, Draft Conclusions on Identification and Legal Consequences of Peremptory Norms of </w:t>
      </w:r>
      <w:r w:rsidRPr="00FB05CB">
        <w:rPr>
          <w:rFonts w:cs="Times New Roman"/>
        </w:rPr>
        <w:tab/>
      </w:r>
      <w:r w:rsidRPr="00FB05CB">
        <w:rPr>
          <w:rFonts w:cs="Times New Roman"/>
        </w:rPr>
        <w:t>General International Law (jus cogens) UN Doc A/77/10 (18 April 2022)</w:t>
      </w:r>
      <w:r w:rsidRPr="00FB05CB">
        <w:rPr>
          <w:rFonts w:cs="Times New Roman"/>
        </w:rPr>
        <w:tab/>
      </w:r>
    </w:p>
    <w:p w14:paraId="3256A6A6" w14:textId="7300447B" w:rsidR="00460A30" w:rsidRPr="00FB05CB" w:rsidRDefault="00460A30" w:rsidP="00CA0672">
      <w:pPr>
        <w:pStyle w:val="Normaalweb"/>
        <w:spacing w:beforeLines="120" w:before="288" w:after="0" w:line="360" w:lineRule="auto"/>
        <w:jc w:val="both"/>
        <w:rPr>
          <w:rFonts w:cs="Times New Roman"/>
        </w:rPr>
      </w:pPr>
      <w:r w:rsidRPr="00FB05CB">
        <w:rPr>
          <w:rFonts w:cs="Times New Roman"/>
        </w:rPr>
        <w:t xml:space="preserve">ILC, Draft Conclusions on Identification of Customary International Law with Commentaries </w:t>
      </w:r>
      <w:r w:rsidRPr="00FB05CB">
        <w:rPr>
          <w:rFonts w:cs="Times New Roman"/>
        </w:rPr>
        <w:tab/>
      </w:r>
      <w:r w:rsidRPr="00FB05CB">
        <w:rPr>
          <w:rFonts w:cs="Times New Roman"/>
        </w:rPr>
        <w:t>UN Doc A/73/10 (2018)</w:t>
      </w:r>
      <w:r w:rsidRPr="00FB05CB">
        <w:rPr>
          <w:rFonts w:cs="Times New Roman"/>
        </w:rPr>
        <w:tab/>
      </w:r>
      <w:r w:rsidRPr="00FB05CB">
        <w:rPr>
          <w:rFonts w:cs="Times New Roman"/>
        </w:rPr>
        <w:br/>
      </w:r>
      <w:r w:rsidRPr="00FB05CB">
        <w:rPr>
          <w:rFonts w:cs="Times New Roman"/>
        </w:rPr>
        <w:t>International Criminal Court, Elements of Crimes (ICC-ASP/1/3, 2002)</w:t>
      </w:r>
      <w:r w:rsidRPr="00FB05CB">
        <w:rPr>
          <w:rFonts w:cs="Times New Roman"/>
        </w:rPr>
        <w:tab/>
      </w:r>
    </w:p>
    <w:p w14:paraId="41440B71" w14:textId="68E1152C" w:rsidR="00460A30" w:rsidRPr="00FB05CB" w:rsidRDefault="00460A30" w:rsidP="00CA0672">
      <w:pPr>
        <w:pStyle w:val="Normaalweb"/>
        <w:spacing w:beforeLines="120" w:before="288" w:after="0" w:line="360" w:lineRule="auto"/>
        <w:jc w:val="both"/>
        <w:rPr>
          <w:rFonts w:cs="Times New Roman"/>
        </w:rPr>
      </w:pPr>
      <w:r w:rsidRPr="00FB05CB">
        <w:rPr>
          <w:rFonts w:cs="Times New Roman"/>
        </w:rPr>
        <w:lastRenderedPageBreak/>
        <w:t xml:space="preserve">Office of the Prosecutor, Policy on Addressing Environmental Crimes under the Rome Statute </w:t>
      </w:r>
      <w:r w:rsidRPr="00FB05CB">
        <w:rPr>
          <w:rFonts w:cs="Times New Roman"/>
        </w:rPr>
        <w:tab/>
      </w:r>
      <w:r w:rsidRPr="00FB05CB">
        <w:rPr>
          <w:rFonts w:cs="Times New Roman"/>
        </w:rPr>
        <w:t>(International Criminal Court 2023)</w:t>
      </w:r>
      <w:r w:rsidRPr="00FB05CB">
        <w:rPr>
          <w:rFonts w:cs="Times New Roman"/>
        </w:rPr>
        <w:tab/>
      </w:r>
    </w:p>
    <w:p w14:paraId="54A9541A" w14:textId="6B5F3E93" w:rsidR="00460A30" w:rsidRPr="00FB05CB" w:rsidRDefault="00460A30" w:rsidP="00CA0672">
      <w:pPr>
        <w:pStyle w:val="Normaalweb"/>
        <w:spacing w:beforeLines="120" w:before="288" w:after="0" w:line="360" w:lineRule="auto"/>
        <w:jc w:val="both"/>
        <w:rPr>
          <w:rFonts w:cs="Times New Roman"/>
        </w:rPr>
      </w:pPr>
      <w:r w:rsidRPr="00FB05CB">
        <w:rPr>
          <w:rFonts w:cs="Times New Roman"/>
        </w:rPr>
        <w:t>UN General Assembly, The Crime of Genocide UNGA Res 96(I) (11 December 1946)</w:t>
      </w:r>
      <w:r w:rsidRPr="00FB05CB">
        <w:rPr>
          <w:rFonts w:cs="Times New Roman"/>
        </w:rPr>
        <w:tab/>
      </w:r>
    </w:p>
    <w:p w14:paraId="5648E261" w14:textId="77777777" w:rsidR="00D50C89" w:rsidRPr="00FB05CB" w:rsidRDefault="00D50C89" w:rsidP="00FB05CB">
      <w:pPr>
        <w:pStyle w:val="Plattetekst"/>
        <w:spacing w:beforeLines="120" w:before="288"/>
        <w:jc w:val="both"/>
      </w:pPr>
    </w:p>
    <w:p w14:paraId="452198A7" w14:textId="77777777" w:rsidR="00D50C89" w:rsidRPr="00FB05CB" w:rsidRDefault="00D50C89" w:rsidP="00FB05CB">
      <w:pPr>
        <w:pStyle w:val="Kop2"/>
        <w:spacing w:beforeLines="120" w:before="288" w:line="240" w:lineRule="auto"/>
        <w:jc w:val="both"/>
        <w:rPr>
          <w:rFonts w:ascii="Times New Roman" w:hAnsi="Times New Roman" w:cs="Times New Roman"/>
          <w:b/>
          <w:bCs/>
        </w:rPr>
      </w:pPr>
      <w:bookmarkStart w:id="46" w:name="_Toc230376219"/>
      <w:r w:rsidRPr="00FB05CB">
        <w:rPr>
          <w:rFonts w:ascii="Times New Roman" w:hAnsi="Times New Roman" w:cs="Times New Roman"/>
          <w:b/>
          <w:bCs/>
        </w:rPr>
        <w:t xml:space="preserve">Case </w:t>
      </w:r>
      <w:proofErr w:type="spellStart"/>
      <w:r w:rsidRPr="00FB05CB">
        <w:rPr>
          <w:rFonts w:ascii="Times New Roman" w:hAnsi="Times New Roman" w:cs="Times New Roman"/>
          <w:b/>
          <w:bCs/>
        </w:rPr>
        <w:t>law</w:t>
      </w:r>
      <w:bookmarkEnd w:id="46"/>
      <w:proofErr w:type="spellEnd"/>
    </w:p>
    <w:p w14:paraId="34EA0A59" w14:textId="77777777" w:rsidR="00D50C89" w:rsidRPr="00FB05CB" w:rsidRDefault="00D50C89" w:rsidP="00FB05CB">
      <w:pPr>
        <w:pStyle w:val="Kop4"/>
        <w:spacing w:beforeLines="120" w:before="288" w:line="240" w:lineRule="auto"/>
        <w:jc w:val="both"/>
        <w:rPr>
          <w:rFonts w:cs="Times New Roman"/>
        </w:rPr>
      </w:pPr>
    </w:p>
    <w:p w14:paraId="0E27BA24" w14:textId="52E33F1A" w:rsidR="005605D7" w:rsidRPr="00FB05CB" w:rsidRDefault="005605D7" w:rsidP="00FB05CB">
      <w:pPr>
        <w:pStyle w:val="Kop3"/>
        <w:spacing w:beforeLines="120" w:before="288" w:line="240" w:lineRule="auto"/>
        <w:jc w:val="both"/>
        <w:rPr>
          <w:rFonts w:cs="Times New Roman"/>
        </w:rPr>
      </w:pPr>
      <w:bookmarkStart w:id="47" w:name="_bookmark21"/>
      <w:bookmarkStart w:id="48" w:name="_Toc230376220"/>
      <w:bookmarkEnd w:id="47"/>
      <w:r w:rsidRPr="00FB05CB">
        <w:rPr>
          <w:rFonts w:cs="Times New Roman"/>
        </w:rPr>
        <w:t>PCI</w:t>
      </w:r>
      <w:r w:rsidR="0079516C" w:rsidRPr="00FB05CB">
        <w:rPr>
          <w:rFonts w:cs="Times New Roman"/>
        </w:rPr>
        <w:t>J</w:t>
      </w:r>
      <w:bookmarkEnd w:id="48"/>
      <w:r w:rsidR="00FB05CB" w:rsidRPr="00FB05CB">
        <w:rPr>
          <w:rFonts w:cs="Times New Roman"/>
        </w:rPr>
        <w:br/>
      </w:r>
    </w:p>
    <w:p w14:paraId="753BA5E8" w14:textId="77777777" w:rsidR="005605D7" w:rsidRPr="00FB05CB" w:rsidRDefault="005605D7" w:rsidP="00FB05CB">
      <w:pPr>
        <w:spacing w:beforeLines="120" w:before="288" w:after="0" w:line="240" w:lineRule="auto"/>
        <w:jc w:val="both"/>
        <w:rPr>
          <w:lang w:val="nl-BE" w:eastAsia="nl-NL"/>
        </w:rPr>
      </w:pPr>
      <w:r w:rsidRPr="00FB05CB">
        <w:rPr>
          <w:lang w:val="nl-BE" w:eastAsia="nl-NL"/>
        </w:rPr>
        <w:t>The Case of the SS Lotus (France v Turkey) (Judgment) PCIJ Rep Series A No 10</w:t>
      </w:r>
    </w:p>
    <w:p w14:paraId="5615CEC9" w14:textId="3E0231C2" w:rsidR="005605D7" w:rsidRPr="00FB05CB" w:rsidRDefault="005605D7" w:rsidP="00FB05CB">
      <w:pPr>
        <w:spacing w:beforeLines="120" w:before="288" w:line="240" w:lineRule="auto"/>
        <w:jc w:val="both"/>
      </w:pPr>
    </w:p>
    <w:p w14:paraId="769A6B88" w14:textId="3E406063" w:rsidR="00E4130E" w:rsidRPr="00FB05CB" w:rsidRDefault="005605D7" w:rsidP="00FB05CB">
      <w:pPr>
        <w:pStyle w:val="Kop3"/>
        <w:spacing w:beforeLines="120" w:before="288" w:line="240" w:lineRule="auto"/>
        <w:jc w:val="both"/>
        <w:rPr>
          <w:rFonts w:cs="Times New Roman"/>
        </w:rPr>
      </w:pPr>
      <w:bookmarkStart w:id="49" w:name="_Toc230376221"/>
      <w:r w:rsidRPr="00FB05CB">
        <w:rPr>
          <w:rFonts w:cs="Times New Roman"/>
        </w:rPr>
        <w:t>ICJ</w:t>
      </w:r>
      <w:bookmarkEnd w:id="49"/>
      <w:r w:rsidR="00460A30" w:rsidRPr="00FB05CB">
        <w:rPr>
          <w:rFonts w:cs="Times New Roman"/>
        </w:rPr>
        <w:br/>
      </w:r>
    </w:p>
    <w:p w14:paraId="2669E12C" w14:textId="1DF6354B"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Convention on the Prevention and Punishment of the Crime of Genocide </w:t>
      </w:r>
      <w:r w:rsidRPr="00FB05CB">
        <w:rPr>
          <w:lang w:val="nl-BE" w:eastAsia="nl-NL"/>
        </w:rPr>
        <w:tab/>
      </w:r>
      <w:r w:rsidRPr="00FB05CB">
        <w:rPr>
          <w:lang w:val="nl-BE" w:eastAsia="nl-NL"/>
        </w:rPr>
        <w:t>(Bosnia and Herzegovina v Serbia and Montenegro) (Judgment) [2007] ICJ Rep 43</w:t>
      </w:r>
      <w:r w:rsidRPr="00FB05CB">
        <w:rPr>
          <w:lang w:val="nl-BE" w:eastAsia="nl-NL"/>
        </w:rPr>
        <w:tab/>
      </w:r>
    </w:p>
    <w:p w14:paraId="4E52FB7C" w14:textId="09673ED7"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Convention on the Prevention and Punishment of the Crime of Genocide </w:t>
      </w:r>
      <w:r w:rsidRPr="00FB05CB">
        <w:rPr>
          <w:lang w:val="nl-BE" w:eastAsia="nl-NL"/>
        </w:rPr>
        <w:tab/>
      </w:r>
      <w:r w:rsidRPr="00FB05CB">
        <w:rPr>
          <w:lang w:val="nl-BE" w:eastAsia="nl-NL"/>
        </w:rPr>
        <w:t>(Croatia v Serbia) (Judgment) [2015] ICJ Rep 3</w:t>
      </w:r>
    </w:p>
    <w:p w14:paraId="1BE7D2F4" w14:textId="58E2613F"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Convention on the Prevention and Punishment of the Crime of Genocide </w:t>
      </w:r>
      <w:r w:rsidRPr="00FB05CB">
        <w:rPr>
          <w:lang w:val="nl-BE" w:eastAsia="nl-NL"/>
        </w:rPr>
        <w:tab/>
      </w:r>
      <w:r w:rsidRPr="00FB05CB">
        <w:rPr>
          <w:lang w:val="nl-BE" w:eastAsia="nl-NL"/>
        </w:rPr>
        <w:t>(Preliminary Objections) [1996] ICJ Rep 595</w:t>
      </w:r>
    </w:p>
    <w:p w14:paraId="7F4CCD19" w14:textId="7FB98EFD"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Convention on the Prevention and Punishment of the Crime of Genocide in </w:t>
      </w:r>
      <w:r w:rsidRPr="00FB05CB">
        <w:rPr>
          <w:lang w:val="nl-BE" w:eastAsia="nl-NL"/>
        </w:rPr>
        <w:tab/>
      </w:r>
      <w:r w:rsidRPr="00FB05CB">
        <w:rPr>
          <w:lang w:val="nl-BE" w:eastAsia="nl-NL"/>
        </w:rPr>
        <w:t xml:space="preserve">the Gaza Strip (South Africa v Israel) (Application Instituting Proceedings) (29 December </w:t>
      </w:r>
      <w:r w:rsidRPr="00FB05CB">
        <w:rPr>
          <w:lang w:val="nl-BE" w:eastAsia="nl-NL"/>
        </w:rPr>
        <w:tab/>
      </w:r>
      <w:r w:rsidRPr="00FB05CB">
        <w:rPr>
          <w:lang w:val="nl-BE" w:eastAsia="nl-NL"/>
        </w:rPr>
        <w:t>2023)</w:t>
      </w:r>
    </w:p>
    <w:p w14:paraId="40652494" w14:textId="1675936D"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Convention on the Prevention and Punishment of the Crime of Genocide in </w:t>
      </w:r>
      <w:r w:rsidRPr="00FB05CB">
        <w:rPr>
          <w:lang w:val="nl-BE" w:eastAsia="nl-NL"/>
        </w:rPr>
        <w:tab/>
      </w:r>
      <w:r w:rsidRPr="00FB05CB">
        <w:rPr>
          <w:lang w:val="nl-BE" w:eastAsia="nl-NL"/>
        </w:rPr>
        <w:t xml:space="preserve">the Gaza Strip (South Africa v Israel) (Order on Provisional Measures) [2024] ICJ </w:t>
      </w:r>
      <w:r w:rsidRPr="00FB05CB">
        <w:rPr>
          <w:lang w:val="nl-BE" w:eastAsia="nl-NL"/>
        </w:rPr>
        <w:tab/>
      </w:r>
      <w:r w:rsidRPr="00FB05CB">
        <w:rPr>
          <w:lang w:val="nl-BE" w:eastAsia="nl-NL"/>
        </w:rPr>
        <w:t>General List No 192</w:t>
      </w:r>
      <w:r w:rsidRPr="00FB05CB">
        <w:rPr>
          <w:lang w:val="nl-BE" w:eastAsia="nl-NL"/>
        </w:rPr>
        <w:tab/>
      </w:r>
    </w:p>
    <w:p w14:paraId="03391C35" w14:textId="0CAF8FB3" w:rsidR="0079516C" w:rsidRPr="00FB05CB" w:rsidRDefault="0079516C" w:rsidP="00FB05CB">
      <w:pPr>
        <w:spacing w:beforeLines="120" w:before="288" w:after="0" w:line="360" w:lineRule="auto"/>
        <w:jc w:val="both"/>
        <w:rPr>
          <w:lang w:val="nl-BE" w:eastAsia="nl-NL"/>
        </w:rPr>
      </w:pPr>
      <w:r w:rsidRPr="00FB05CB">
        <w:rPr>
          <w:lang w:val="nl-BE" w:eastAsia="nl-NL"/>
        </w:rPr>
        <w:t xml:space="preserve">Application of the International Convention on the Elimination of All Forms of Racial </w:t>
      </w:r>
      <w:r w:rsidRPr="00FB05CB">
        <w:rPr>
          <w:lang w:val="nl-BE" w:eastAsia="nl-NL"/>
        </w:rPr>
        <w:tab/>
      </w:r>
      <w:r w:rsidRPr="00FB05CB">
        <w:rPr>
          <w:lang w:val="nl-BE" w:eastAsia="nl-NL"/>
        </w:rPr>
        <w:t>Discrimination (Armenia v Azerbaijan) (Order) [2023] ICJ Rep 619</w:t>
      </w:r>
      <w:r w:rsidRPr="00FB05CB">
        <w:rPr>
          <w:lang w:val="nl-BE" w:eastAsia="nl-NL"/>
        </w:rPr>
        <w:tab/>
      </w:r>
    </w:p>
    <w:p w14:paraId="40FBD9F2" w14:textId="46288F62" w:rsidR="0079516C" w:rsidRPr="00FB05CB" w:rsidRDefault="0079516C" w:rsidP="00FB05CB">
      <w:pPr>
        <w:spacing w:beforeLines="120" w:before="288" w:after="0" w:line="360" w:lineRule="auto"/>
        <w:jc w:val="both"/>
        <w:rPr>
          <w:lang w:val="nl-BE" w:eastAsia="nl-NL"/>
        </w:rPr>
      </w:pPr>
      <w:r w:rsidRPr="00FB05CB">
        <w:rPr>
          <w:lang w:val="nl-BE" w:eastAsia="nl-NL"/>
        </w:rPr>
        <w:lastRenderedPageBreak/>
        <w:t xml:space="preserve">Armed Activities on the Territory of the Congo (Democratic Republic of the Congo v Uganda) </w:t>
      </w:r>
      <w:r w:rsidRPr="00FB05CB">
        <w:rPr>
          <w:lang w:val="nl-BE" w:eastAsia="nl-NL"/>
        </w:rPr>
        <w:tab/>
      </w:r>
      <w:r w:rsidRPr="00FB05CB">
        <w:rPr>
          <w:lang w:val="nl-BE" w:eastAsia="nl-NL"/>
        </w:rPr>
        <w:t>(Judgment) [2005] ICJ Rep 168</w:t>
      </w:r>
      <w:r w:rsidRPr="00FB05CB">
        <w:rPr>
          <w:lang w:val="nl-BE" w:eastAsia="nl-NL"/>
        </w:rPr>
        <w:tab/>
      </w:r>
    </w:p>
    <w:p w14:paraId="18E4F7B4" w14:textId="1D1175C6" w:rsidR="0079516C" w:rsidRPr="00FB05CB" w:rsidRDefault="0079516C" w:rsidP="00FB05CB">
      <w:pPr>
        <w:spacing w:beforeLines="120" w:before="288" w:after="0" w:line="360" w:lineRule="auto"/>
        <w:jc w:val="both"/>
        <w:rPr>
          <w:lang w:val="nl-BE" w:eastAsia="nl-NL"/>
        </w:rPr>
      </w:pPr>
      <w:r w:rsidRPr="00FB05CB">
        <w:rPr>
          <w:lang w:val="nl-BE" w:eastAsia="nl-NL"/>
        </w:rPr>
        <w:t xml:space="preserve">Barcelona Traction, Light and Power Company Ltd (Belgium v Spain) (Judgment) [1970] ICJ </w:t>
      </w:r>
      <w:r w:rsidRPr="00FB05CB">
        <w:rPr>
          <w:lang w:val="nl-BE" w:eastAsia="nl-NL"/>
        </w:rPr>
        <w:tab/>
      </w:r>
      <w:r w:rsidRPr="00FB05CB">
        <w:rPr>
          <w:lang w:val="nl-BE" w:eastAsia="nl-NL"/>
        </w:rPr>
        <w:t>Rep 3</w:t>
      </w:r>
      <w:r w:rsidRPr="00FB05CB">
        <w:rPr>
          <w:lang w:val="nl-BE" w:eastAsia="nl-NL"/>
        </w:rPr>
        <w:tab/>
      </w:r>
    </w:p>
    <w:p w14:paraId="22FF7641" w14:textId="41DFF83C" w:rsidR="0079516C" w:rsidRPr="00FB05CB" w:rsidRDefault="0079516C" w:rsidP="00FB05CB">
      <w:pPr>
        <w:spacing w:beforeLines="120" w:before="288" w:after="0" w:line="360" w:lineRule="auto"/>
        <w:jc w:val="both"/>
        <w:rPr>
          <w:lang w:val="nl-BE" w:eastAsia="nl-NL"/>
        </w:rPr>
      </w:pPr>
      <w:r w:rsidRPr="00FB05CB">
        <w:rPr>
          <w:lang w:val="nl-BE" w:eastAsia="nl-NL"/>
        </w:rPr>
        <w:t xml:space="preserve">Competence of the General Assembly for the Admission of a State to the United Nations </w:t>
      </w:r>
      <w:r w:rsidRPr="00FB05CB">
        <w:rPr>
          <w:lang w:val="nl-BE" w:eastAsia="nl-NL"/>
        </w:rPr>
        <w:tab/>
      </w:r>
      <w:r w:rsidRPr="00FB05CB">
        <w:rPr>
          <w:lang w:val="nl-BE" w:eastAsia="nl-NL"/>
        </w:rPr>
        <w:t>(Advisory Opinion) [1950] ICJ Rep 4</w:t>
      </w:r>
      <w:r w:rsidRPr="00FB05CB">
        <w:rPr>
          <w:lang w:val="nl-BE" w:eastAsia="nl-NL"/>
        </w:rPr>
        <w:tab/>
      </w:r>
    </w:p>
    <w:p w14:paraId="3D68687D" w14:textId="4842DE54" w:rsidR="0079516C" w:rsidRPr="00FB05CB" w:rsidRDefault="0079516C" w:rsidP="00FB05CB">
      <w:pPr>
        <w:spacing w:beforeLines="120" w:before="288" w:after="0" w:line="360" w:lineRule="auto"/>
        <w:jc w:val="both"/>
        <w:rPr>
          <w:lang w:val="nl-BE" w:eastAsia="nl-NL"/>
        </w:rPr>
      </w:pPr>
      <w:r w:rsidRPr="00FB05CB">
        <w:rPr>
          <w:lang w:val="nl-BE" w:eastAsia="nl-NL"/>
        </w:rPr>
        <w:t xml:space="preserve">Dispute regarding Navigational and Related Rights (Costa Rica v Nicaragua) (Judgment) [2009] </w:t>
      </w:r>
      <w:r w:rsidRPr="00FB05CB">
        <w:rPr>
          <w:lang w:val="nl-BE" w:eastAsia="nl-NL"/>
        </w:rPr>
        <w:tab/>
      </w:r>
      <w:r w:rsidRPr="00FB05CB">
        <w:rPr>
          <w:lang w:val="nl-BE" w:eastAsia="nl-NL"/>
        </w:rPr>
        <w:t>ICJ Rep 213</w:t>
      </w:r>
      <w:r w:rsidRPr="00FB05CB">
        <w:rPr>
          <w:lang w:val="nl-BE" w:eastAsia="nl-NL"/>
        </w:rPr>
        <w:tab/>
      </w:r>
    </w:p>
    <w:p w14:paraId="697D6B2F" w14:textId="48580FC3" w:rsidR="0079516C" w:rsidRPr="00FB05CB" w:rsidRDefault="0079516C" w:rsidP="00FB05CB">
      <w:pPr>
        <w:spacing w:beforeLines="120" w:before="288" w:after="0" w:line="360" w:lineRule="auto"/>
        <w:jc w:val="both"/>
        <w:rPr>
          <w:lang w:val="nl-BE" w:eastAsia="nl-NL"/>
        </w:rPr>
      </w:pPr>
      <w:r w:rsidRPr="00FB05CB">
        <w:rPr>
          <w:lang w:val="nl-BE" w:eastAsia="nl-NL"/>
        </w:rPr>
        <w:t>Fisheries Case (United Kingdom v Norway) (Judgment) [1951] ICJ Rep 116</w:t>
      </w:r>
    </w:p>
    <w:p w14:paraId="0B85D9DF" w14:textId="75617E1C" w:rsidR="0079516C" w:rsidRPr="00FB05CB" w:rsidRDefault="0079516C" w:rsidP="00FB05CB">
      <w:pPr>
        <w:spacing w:beforeLines="120" w:before="288" w:after="0" w:line="360" w:lineRule="auto"/>
        <w:jc w:val="both"/>
        <w:rPr>
          <w:lang w:val="nl-BE" w:eastAsia="nl-NL"/>
        </w:rPr>
      </w:pPr>
      <w:r w:rsidRPr="00FB05CB">
        <w:rPr>
          <w:lang w:val="nl-BE" w:eastAsia="nl-NL"/>
        </w:rPr>
        <w:t>Kasikili/Sedudu Island (Botswana v Namibia) (Judgment) [1999] ICJ Rep 1045</w:t>
      </w:r>
    </w:p>
    <w:p w14:paraId="6BF3FB0C" w14:textId="382FE2F2" w:rsidR="0079516C" w:rsidRPr="00FB05CB" w:rsidRDefault="0079516C" w:rsidP="00FB05CB">
      <w:pPr>
        <w:spacing w:beforeLines="120" w:before="288" w:after="0" w:line="360" w:lineRule="auto"/>
        <w:jc w:val="both"/>
        <w:rPr>
          <w:lang w:val="nl-BE" w:eastAsia="nl-NL"/>
        </w:rPr>
      </w:pPr>
      <w:r w:rsidRPr="00FB05CB">
        <w:rPr>
          <w:lang w:val="nl-BE" w:eastAsia="nl-NL"/>
        </w:rPr>
        <w:t>Legality of the Threat or Use of Nuclear Weapons (Advisory Opinion) [1996] ICJ Rep 226</w:t>
      </w:r>
    </w:p>
    <w:p w14:paraId="17AC5391" w14:textId="2022319C" w:rsidR="0079516C" w:rsidRPr="00FB05CB" w:rsidRDefault="0079516C" w:rsidP="00FB05CB">
      <w:pPr>
        <w:spacing w:beforeLines="120" w:before="288" w:after="0" w:line="360" w:lineRule="auto"/>
        <w:jc w:val="both"/>
        <w:rPr>
          <w:lang w:val="nl-BE" w:eastAsia="nl-NL"/>
        </w:rPr>
      </w:pPr>
      <w:r w:rsidRPr="00FB05CB">
        <w:rPr>
          <w:lang w:val="nl-BE" w:eastAsia="nl-NL"/>
        </w:rPr>
        <w:t xml:space="preserve">Maritime Delimitation and Territorial Questions between Qatar and Bahrain (Qatar v Bahrain) </w:t>
      </w:r>
      <w:r w:rsidRPr="00FB05CB">
        <w:rPr>
          <w:lang w:val="nl-BE" w:eastAsia="nl-NL"/>
        </w:rPr>
        <w:tab/>
      </w:r>
      <w:r w:rsidRPr="00FB05CB">
        <w:rPr>
          <w:lang w:val="nl-BE" w:eastAsia="nl-NL"/>
        </w:rPr>
        <w:t>(Jurisdiction and Admissibility) [1995] ICJ Rep 6</w:t>
      </w:r>
      <w:r w:rsidRPr="00FB05CB">
        <w:rPr>
          <w:lang w:val="nl-BE" w:eastAsia="nl-NL"/>
        </w:rPr>
        <w:tab/>
      </w:r>
    </w:p>
    <w:p w14:paraId="490EAA95" w14:textId="5AD60363" w:rsidR="0079516C" w:rsidRPr="00FB05CB" w:rsidRDefault="0079516C" w:rsidP="00FB05CB">
      <w:pPr>
        <w:spacing w:beforeLines="120" w:before="288" w:after="0" w:line="360" w:lineRule="auto"/>
        <w:jc w:val="both"/>
        <w:rPr>
          <w:lang w:val="nl-BE" w:eastAsia="nl-NL"/>
        </w:rPr>
      </w:pPr>
      <w:r w:rsidRPr="00FB05CB">
        <w:rPr>
          <w:lang w:val="nl-BE" w:eastAsia="nl-NL"/>
        </w:rPr>
        <w:t xml:space="preserve">Military and Paramilitary Activities in and against Nicaragua (Nicaragua v United States of </w:t>
      </w:r>
      <w:r w:rsidRPr="00FB05CB">
        <w:rPr>
          <w:lang w:val="nl-BE" w:eastAsia="nl-NL"/>
        </w:rPr>
        <w:tab/>
      </w:r>
      <w:r w:rsidRPr="00FB05CB">
        <w:rPr>
          <w:lang w:val="nl-BE" w:eastAsia="nl-NL"/>
        </w:rPr>
        <w:t>America) (Merits) [1986] ICJ Rep 14</w:t>
      </w:r>
      <w:r w:rsidRPr="00FB05CB">
        <w:rPr>
          <w:lang w:val="nl-BE" w:eastAsia="nl-NL"/>
        </w:rPr>
        <w:tab/>
      </w:r>
    </w:p>
    <w:p w14:paraId="52B2E5DA" w14:textId="5F4CE55F" w:rsidR="0079516C" w:rsidRPr="00FB05CB" w:rsidRDefault="0079516C" w:rsidP="00FB05CB">
      <w:pPr>
        <w:spacing w:beforeLines="120" w:before="288" w:after="0" w:line="360" w:lineRule="auto"/>
        <w:jc w:val="both"/>
        <w:rPr>
          <w:lang w:val="nl-BE" w:eastAsia="nl-NL"/>
        </w:rPr>
      </w:pPr>
      <w:r w:rsidRPr="00FB05CB">
        <w:rPr>
          <w:lang w:val="nl-BE" w:eastAsia="nl-NL"/>
        </w:rPr>
        <w:t xml:space="preserve">North Sea Continental Shelf Cases (Federal Republic of Germany v Denmark; Federal Republic </w:t>
      </w:r>
      <w:r w:rsidRPr="00FB05CB">
        <w:rPr>
          <w:lang w:val="nl-BE" w:eastAsia="nl-NL"/>
        </w:rPr>
        <w:tab/>
      </w:r>
      <w:r w:rsidRPr="00FB05CB">
        <w:rPr>
          <w:lang w:val="nl-BE" w:eastAsia="nl-NL"/>
        </w:rPr>
        <w:t>of Germany v Netherlands) (Judgment) [1969] ICJ Rep 3</w:t>
      </w:r>
      <w:r w:rsidRPr="00FB05CB">
        <w:rPr>
          <w:lang w:val="nl-BE" w:eastAsia="nl-NL"/>
        </w:rPr>
        <w:tab/>
      </w:r>
    </w:p>
    <w:p w14:paraId="3428C03A" w14:textId="240869BF" w:rsidR="0079516C" w:rsidRPr="00FB05CB" w:rsidRDefault="0079516C" w:rsidP="00FB05CB">
      <w:pPr>
        <w:spacing w:beforeLines="120" w:before="288" w:after="0" w:line="360" w:lineRule="auto"/>
        <w:jc w:val="both"/>
        <w:rPr>
          <w:lang w:val="nl-BE" w:eastAsia="nl-NL"/>
        </w:rPr>
      </w:pPr>
      <w:r w:rsidRPr="00FB05CB">
        <w:rPr>
          <w:lang w:val="nl-BE" w:eastAsia="nl-NL"/>
        </w:rPr>
        <w:t xml:space="preserve">Oil Platforms (Islamic Republic of Iran v United States of America) (Preliminary Objections) </w:t>
      </w:r>
      <w:r w:rsidRPr="00FB05CB">
        <w:rPr>
          <w:lang w:val="nl-BE" w:eastAsia="nl-NL"/>
        </w:rPr>
        <w:tab/>
      </w:r>
      <w:r w:rsidRPr="00FB05CB">
        <w:rPr>
          <w:lang w:val="nl-BE" w:eastAsia="nl-NL"/>
        </w:rPr>
        <w:t>[1996] ICJ Rep 803</w:t>
      </w:r>
      <w:r w:rsidRPr="00FB05CB">
        <w:rPr>
          <w:lang w:val="nl-BE" w:eastAsia="nl-NL"/>
        </w:rPr>
        <w:tab/>
      </w:r>
    </w:p>
    <w:p w14:paraId="1A63375B" w14:textId="71CD7E01" w:rsidR="0079516C" w:rsidRPr="00FB05CB" w:rsidRDefault="0079516C" w:rsidP="00FB05CB">
      <w:pPr>
        <w:spacing w:beforeLines="120" w:before="288" w:after="0" w:line="360" w:lineRule="auto"/>
        <w:jc w:val="both"/>
        <w:rPr>
          <w:lang w:val="nl-BE" w:eastAsia="nl-NL"/>
        </w:rPr>
      </w:pPr>
      <w:r w:rsidRPr="00FB05CB">
        <w:rPr>
          <w:lang w:val="nl-BE" w:eastAsia="nl-NL"/>
        </w:rPr>
        <w:t xml:space="preserve">Questions relating to the Obligation to Prosecute or Extradite (Belgium v Senegal) (Judgment) </w:t>
      </w:r>
      <w:r w:rsidRPr="00FB05CB">
        <w:rPr>
          <w:lang w:val="nl-BE" w:eastAsia="nl-NL"/>
        </w:rPr>
        <w:tab/>
      </w:r>
      <w:r w:rsidRPr="00FB05CB">
        <w:rPr>
          <w:lang w:val="nl-BE" w:eastAsia="nl-NL"/>
        </w:rPr>
        <w:t>[2012] ICJ Rep 422</w:t>
      </w:r>
      <w:r w:rsidRPr="00FB05CB">
        <w:rPr>
          <w:lang w:val="nl-BE" w:eastAsia="nl-NL"/>
        </w:rPr>
        <w:tab/>
      </w:r>
    </w:p>
    <w:p w14:paraId="6B4F6011" w14:textId="7D6BF4E3" w:rsidR="0079516C" w:rsidRPr="00FB05CB" w:rsidRDefault="0079516C" w:rsidP="00FB05CB">
      <w:pPr>
        <w:spacing w:beforeLines="120" w:before="288" w:after="0" w:line="360" w:lineRule="auto"/>
        <w:jc w:val="both"/>
        <w:rPr>
          <w:lang w:val="nl-BE" w:eastAsia="nl-NL"/>
        </w:rPr>
      </w:pPr>
      <w:r w:rsidRPr="00FB05CB">
        <w:rPr>
          <w:lang w:val="nl-BE" w:eastAsia="nl-NL"/>
        </w:rPr>
        <w:t xml:space="preserve">Sovereignty over Pulau Ligitan and Pulau Sipadan (Indonesia v Malaysia) (Judgment) [2002] </w:t>
      </w:r>
      <w:r w:rsidRPr="00FB05CB">
        <w:rPr>
          <w:lang w:val="nl-BE" w:eastAsia="nl-NL"/>
        </w:rPr>
        <w:tab/>
      </w:r>
      <w:r w:rsidRPr="00FB05CB">
        <w:rPr>
          <w:lang w:val="nl-BE" w:eastAsia="nl-NL"/>
        </w:rPr>
        <w:t>ICJ Rep 625</w:t>
      </w:r>
      <w:r w:rsidRPr="00FB05CB">
        <w:rPr>
          <w:lang w:val="nl-BE" w:eastAsia="nl-NL"/>
        </w:rPr>
        <w:tab/>
      </w:r>
    </w:p>
    <w:p w14:paraId="3AD9D444" w14:textId="7367E059" w:rsidR="0079516C" w:rsidRPr="00FB05CB" w:rsidRDefault="0079516C" w:rsidP="00FB05CB">
      <w:pPr>
        <w:spacing w:beforeLines="120" w:before="288" w:after="0" w:line="360" w:lineRule="auto"/>
        <w:jc w:val="both"/>
        <w:rPr>
          <w:lang w:val="nl-BE" w:eastAsia="nl-NL"/>
        </w:rPr>
      </w:pPr>
      <w:r w:rsidRPr="00FB05CB">
        <w:rPr>
          <w:lang w:val="nl-BE" w:eastAsia="nl-NL"/>
        </w:rPr>
        <w:t>Territorial Dispute (Libyan Arab Jamahiriya v Chad) (Judgment) [1994] ICJ Rep 6</w:t>
      </w:r>
    </w:p>
    <w:p w14:paraId="1233F107" w14:textId="6DF1844C" w:rsidR="00D50C89" w:rsidRPr="00FB05CB" w:rsidRDefault="0079516C" w:rsidP="00FB05CB">
      <w:pPr>
        <w:spacing w:beforeLines="120" w:before="288" w:after="0" w:line="360" w:lineRule="auto"/>
        <w:jc w:val="both"/>
        <w:rPr>
          <w:lang w:val="nl-BE" w:eastAsia="nl-NL"/>
        </w:rPr>
      </w:pPr>
      <w:r w:rsidRPr="00FB05CB">
        <w:rPr>
          <w:lang w:val="nl-BE" w:eastAsia="nl-NL"/>
        </w:rPr>
        <w:lastRenderedPageBreak/>
        <w:t xml:space="preserve">Whaling in the Antarctic (Australia v Japan: New Zealand intervening) (Judgment) [2014] ICJ </w:t>
      </w:r>
      <w:r w:rsidRPr="00FB05CB">
        <w:rPr>
          <w:lang w:val="nl-BE" w:eastAsia="nl-NL"/>
        </w:rPr>
        <w:tab/>
      </w:r>
      <w:r w:rsidRPr="00FB05CB">
        <w:rPr>
          <w:lang w:val="nl-BE" w:eastAsia="nl-NL"/>
        </w:rPr>
        <w:tab/>
        <w:t>Rep 226</w:t>
      </w:r>
      <w:r w:rsidR="00FB05CB">
        <w:rPr>
          <w:lang w:val="nl-BE" w:eastAsia="nl-NL"/>
        </w:rPr>
        <w:tab/>
      </w:r>
      <w:r w:rsidR="00FB05CB">
        <w:rPr>
          <w:lang w:val="nl-BE" w:eastAsia="nl-NL"/>
        </w:rPr>
        <w:br/>
      </w:r>
      <w:r w:rsidR="00E4130E" w:rsidRPr="00FB05CB">
        <w:br/>
      </w:r>
      <w:r w:rsidR="00D50C89" w:rsidRPr="00FB05CB">
        <w:rPr>
          <w:rStyle w:val="Kop3Char"/>
        </w:rPr>
        <w:t>ICTY</w:t>
      </w:r>
    </w:p>
    <w:p w14:paraId="7BDCC270" w14:textId="30D1A736" w:rsidR="0079516C" w:rsidRPr="00FB05CB" w:rsidRDefault="0079516C" w:rsidP="00FB05CB">
      <w:pPr>
        <w:pStyle w:val="Plattetekst"/>
        <w:spacing w:beforeLines="120" w:before="288" w:line="360" w:lineRule="auto"/>
        <w:jc w:val="both"/>
        <w:rPr>
          <w:lang w:val="nl-BE"/>
        </w:rPr>
      </w:pPr>
      <w:r w:rsidRPr="00FB05CB">
        <w:rPr>
          <w:lang w:val="nl-BE"/>
        </w:rPr>
        <w:t>Blagojević and Jokić (Judgment) IT-02-60-T (17 January 2005)</w:t>
      </w:r>
      <w:r w:rsidRPr="00FB05CB">
        <w:rPr>
          <w:lang w:val="nl-BE"/>
        </w:rPr>
        <w:tab/>
      </w:r>
    </w:p>
    <w:p w14:paraId="58F74551" w14:textId="5106FD74" w:rsidR="0079516C" w:rsidRPr="00FB05CB" w:rsidRDefault="0079516C" w:rsidP="00FB05CB">
      <w:pPr>
        <w:pStyle w:val="Plattetekst"/>
        <w:spacing w:beforeLines="120" w:before="288" w:line="360" w:lineRule="auto"/>
        <w:jc w:val="both"/>
        <w:rPr>
          <w:lang w:val="nl-BE"/>
        </w:rPr>
      </w:pPr>
      <w:r w:rsidRPr="00FB05CB">
        <w:rPr>
          <w:lang w:val="nl-BE"/>
        </w:rPr>
        <w:t>Brđanin (Judgment) IT-99-36-T (1 September 2004)</w:t>
      </w:r>
    </w:p>
    <w:p w14:paraId="0E335CD5" w14:textId="1BACD8D4" w:rsidR="0079516C" w:rsidRPr="00FB05CB" w:rsidRDefault="0079516C" w:rsidP="00FB05CB">
      <w:pPr>
        <w:pStyle w:val="Plattetekst"/>
        <w:spacing w:beforeLines="120" w:before="288" w:line="360" w:lineRule="auto"/>
        <w:jc w:val="both"/>
        <w:rPr>
          <w:lang w:val="nl-BE"/>
        </w:rPr>
      </w:pPr>
      <w:r w:rsidRPr="00FB05CB">
        <w:rPr>
          <w:lang w:val="nl-BE"/>
        </w:rPr>
        <w:t>Jelisić (Appeal Judgment) IT-95-10-A (5 July 2001)</w:t>
      </w:r>
    </w:p>
    <w:p w14:paraId="4FB45E1E" w14:textId="43EDFA6C" w:rsidR="0079516C" w:rsidRPr="00FB05CB" w:rsidRDefault="0079516C" w:rsidP="00FB05CB">
      <w:pPr>
        <w:pStyle w:val="Plattetekst"/>
        <w:spacing w:beforeLines="120" w:before="288" w:line="360" w:lineRule="auto"/>
        <w:jc w:val="both"/>
        <w:rPr>
          <w:lang w:val="nl-BE"/>
        </w:rPr>
      </w:pPr>
      <w:r w:rsidRPr="00FB05CB">
        <w:rPr>
          <w:lang w:val="nl-BE"/>
        </w:rPr>
        <w:t>Jelisić (Judgment) IT-95-10-T (14 December 1999)</w:t>
      </w:r>
    </w:p>
    <w:p w14:paraId="63FFC507" w14:textId="43B45BDD" w:rsidR="0079516C" w:rsidRPr="00FB05CB" w:rsidRDefault="0079516C" w:rsidP="00FB05CB">
      <w:pPr>
        <w:pStyle w:val="Plattetekst"/>
        <w:spacing w:beforeLines="120" w:before="288" w:line="360" w:lineRule="auto"/>
        <w:jc w:val="both"/>
        <w:rPr>
          <w:lang w:val="nl-BE"/>
        </w:rPr>
      </w:pPr>
      <w:r w:rsidRPr="00FB05CB">
        <w:rPr>
          <w:lang w:val="nl-BE"/>
        </w:rPr>
        <w:t>Karadžić (Judgment) IT-95-5/18-T (24 March 2016)</w:t>
      </w:r>
    </w:p>
    <w:p w14:paraId="55EA359B" w14:textId="79350386" w:rsidR="0079516C" w:rsidRPr="00FB05CB" w:rsidRDefault="0079516C" w:rsidP="00FB05CB">
      <w:pPr>
        <w:pStyle w:val="Plattetekst"/>
        <w:spacing w:beforeLines="120" w:before="288" w:line="360" w:lineRule="auto"/>
        <w:jc w:val="both"/>
        <w:rPr>
          <w:lang w:val="nl-BE"/>
        </w:rPr>
      </w:pPr>
      <w:r w:rsidRPr="00FB05CB">
        <w:rPr>
          <w:lang w:val="nl-BE"/>
        </w:rPr>
        <w:t>Krstić (Judgment) IT-98-33-T (2 August 2001)</w:t>
      </w:r>
    </w:p>
    <w:p w14:paraId="3A69CD24" w14:textId="01D52E82" w:rsidR="0079516C" w:rsidRPr="00FB05CB" w:rsidRDefault="0079516C" w:rsidP="00FB05CB">
      <w:pPr>
        <w:pStyle w:val="Plattetekst"/>
        <w:spacing w:beforeLines="120" w:before="288" w:line="360" w:lineRule="auto"/>
        <w:jc w:val="both"/>
        <w:rPr>
          <w:lang w:val="nl-BE"/>
        </w:rPr>
      </w:pPr>
      <w:r w:rsidRPr="00FB05CB">
        <w:rPr>
          <w:lang w:val="nl-BE"/>
        </w:rPr>
        <w:t>Mladić (Judgment) IT-09-92-T (22 November 2017)</w:t>
      </w:r>
    </w:p>
    <w:p w14:paraId="138097C3" w14:textId="6A65EA3F" w:rsidR="0079516C" w:rsidRPr="00FB05CB" w:rsidRDefault="0079516C" w:rsidP="00FB05CB">
      <w:pPr>
        <w:pStyle w:val="Plattetekst"/>
        <w:spacing w:beforeLines="120" w:before="288" w:line="360" w:lineRule="auto"/>
        <w:jc w:val="both"/>
        <w:rPr>
          <w:lang w:val="nl-BE"/>
        </w:rPr>
      </w:pPr>
      <w:r w:rsidRPr="00FB05CB">
        <w:rPr>
          <w:lang w:val="nl-BE"/>
        </w:rPr>
        <w:t>Sikirica et al (Judgment on Defence Motions to Acquit) IT-95-8-T (3 September 2001)</w:t>
      </w:r>
    </w:p>
    <w:p w14:paraId="10BB75BE" w14:textId="0DA5DE88" w:rsidR="00DE7629" w:rsidRPr="00FB05CB" w:rsidRDefault="0079516C" w:rsidP="00FB05CB">
      <w:pPr>
        <w:pStyle w:val="Plattetekst"/>
        <w:spacing w:beforeLines="120" w:before="288" w:line="360" w:lineRule="auto"/>
        <w:jc w:val="both"/>
        <w:rPr>
          <w:lang w:val="nl-BE"/>
        </w:rPr>
      </w:pPr>
      <w:r w:rsidRPr="00FB05CB">
        <w:rPr>
          <w:lang w:val="nl-BE"/>
        </w:rPr>
        <w:t>Stakić (Judgment) IT-97-24-T (31 July 2003)</w:t>
      </w:r>
      <w:r w:rsidR="00D723FF" w:rsidRPr="00FB05CB">
        <w:rPr>
          <w:lang w:val="nl-BE"/>
        </w:rPr>
        <w:tab/>
      </w:r>
      <w:r w:rsidR="00D723FF" w:rsidRPr="00FB05CB">
        <w:rPr>
          <w:lang w:val="nl-BE"/>
        </w:rPr>
        <w:br/>
      </w:r>
    </w:p>
    <w:p w14:paraId="02A0C089" w14:textId="77777777" w:rsidR="00DE7629" w:rsidRPr="00FB05CB" w:rsidRDefault="00DE7629" w:rsidP="00FB05CB">
      <w:pPr>
        <w:pStyle w:val="Kop3"/>
        <w:spacing w:beforeLines="120" w:before="288" w:line="240" w:lineRule="auto"/>
        <w:jc w:val="both"/>
        <w:rPr>
          <w:rFonts w:cs="Times New Roman"/>
        </w:rPr>
      </w:pPr>
      <w:bookmarkStart w:id="50" w:name="_Toc230376222"/>
      <w:r w:rsidRPr="00FB05CB">
        <w:rPr>
          <w:rFonts w:cs="Times New Roman"/>
        </w:rPr>
        <w:t>ICTR</w:t>
      </w:r>
      <w:bookmarkEnd w:id="50"/>
    </w:p>
    <w:p w14:paraId="51F13C1B" w14:textId="2F56C346" w:rsidR="0079516C" w:rsidRPr="00FB05CB" w:rsidRDefault="00E07A4C" w:rsidP="00CA0672">
      <w:pPr>
        <w:pStyle w:val="Plattetekst"/>
        <w:spacing w:beforeLines="120" w:before="288" w:line="360" w:lineRule="auto"/>
        <w:ind w:left="23" w:right="139"/>
        <w:jc w:val="both"/>
        <w:rPr>
          <w:lang w:val="nl-BE"/>
        </w:rPr>
      </w:pPr>
      <w:r w:rsidRPr="00FB05CB">
        <w:br/>
      </w:r>
      <w:r w:rsidR="0079516C" w:rsidRPr="00FB05CB">
        <w:rPr>
          <w:lang w:val="nl-BE"/>
        </w:rPr>
        <w:t>Akayesu (Judgment) ICTR-96-4-T (2 September 1998)</w:t>
      </w:r>
      <w:r w:rsidR="0079516C" w:rsidRPr="00FB05CB">
        <w:rPr>
          <w:lang w:val="nl-BE"/>
        </w:rPr>
        <w:tab/>
      </w:r>
    </w:p>
    <w:p w14:paraId="2E9BAD9A" w14:textId="2E8E334A" w:rsidR="0079516C" w:rsidRPr="00FB05CB" w:rsidRDefault="0079516C" w:rsidP="00CA0672">
      <w:pPr>
        <w:pStyle w:val="Plattetekst"/>
        <w:spacing w:beforeLines="120" w:before="288" w:line="360" w:lineRule="auto"/>
        <w:ind w:left="23" w:right="139"/>
        <w:jc w:val="both"/>
        <w:rPr>
          <w:lang w:val="nl-BE"/>
        </w:rPr>
      </w:pPr>
      <w:r w:rsidRPr="00FB05CB">
        <w:rPr>
          <w:lang w:val="nl-BE"/>
        </w:rPr>
        <w:t>Kayishema and Ruzindana (Appeal Judgment) ICTR-95-1-A (1 June 2001)</w:t>
      </w:r>
      <w:r w:rsidRPr="00FB05CB">
        <w:rPr>
          <w:lang w:val="nl-BE"/>
        </w:rPr>
        <w:tab/>
      </w:r>
    </w:p>
    <w:p w14:paraId="255FC5F6" w14:textId="14362D13" w:rsidR="0079516C" w:rsidRPr="00FB05CB" w:rsidRDefault="0079516C" w:rsidP="00CA0672">
      <w:pPr>
        <w:pStyle w:val="Plattetekst"/>
        <w:spacing w:beforeLines="120" w:before="288" w:line="360" w:lineRule="auto"/>
        <w:ind w:left="23" w:right="139"/>
        <w:jc w:val="both"/>
        <w:rPr>
          <w:lang w:val="nl-BE"/>
        </w:rPr>
      </w:pPr>
      <w:r w:rsidRPr="00FB05CB">
        <w:rPr>
          <w:lang w:val="nl-BE"/>
        </w:rPr>
        <w:t>Kayishema and Ruzindana (Judgment) ICTR-95-1-T (21 May 1999)</w:t>
      </w:r>
      <w:r w:rsidRPr="00FB05CB">
        <w:rPr>
          <w:lang w:val="nl-BE"/>
        </w:rPr>
        <w:tab/>
      </w:r>
    </w:p>
    <w:p w14:paraId="5C151024" w14:textId="77777777" w:rsidR="00CA0672" w:rsidRDefault="0079516C" w:rsidP="00CA0672">
      <w:pPr>
        <w:pStyle w:val="Plattetekst"/>
        <w:spacing w:beforeLines="120" w:before="288" w:line="360" w:lineRule="auto"/>
        <w:ind w:left="23" w:right="139"/>
        <w:jc w:val="both"/>
        <w:rPr>
          <w:lang w:val="nl-BE"/>
        </w:rPr>
      </w:pPr>
      <w:r w:rsidRPr="00FB05CB">
        <w:rPr>
          <w:lang w:val="nl-BE"/>
        </w:rPr>
        <w:t>Musema (Judgment and Sentence) ICTR-96-13-T (27 January 2000)</w:t>
      </w:r>
      <w:r w:rsidRPr="00FB05CB">
        <w:rPr>
          <w:lang w:val="nl-BE"/>
        </w:rPr>
        <w:tab/>
      </w:r>
    </w:p>
    <w:p w14:paraId="02C0926D" w14:textId="4BBAE5F7" w:rsidR="00CA0672" w:rsidRDefault="0079516C" w:rsidP="00CA0672">
      <w:pPr>
        <w:pStyle w:val="Plattetekst"/>
        <w:spacing w:beforeLines="120" w:before="288" w:line="360" w:lineRule="auto"/>
        <w:ind w:left="23" w:right="139"/>
        <w:jc w:val="both"/>
        <w:rPr>
          <w:lang w:val="nl-BE"/>
        </w:rPr>
      </w:pPr>
      <w:r w:rsidRPr="00FB05CB">
        <w:rPr>
          <w:lang w:val="nl-BE"/>
        </w:rPr>
        <w:t xml:space="preserve">Nahimana, Barayagwiza and Ngeze (Judgment and Sentence) ICTR-99-52-T (3 December </w:t>
      </w:r>
      <w:r w:rsidRPr="00FB05CB">
        <w:rPr>
          <w:lang w:val="nl-BE"/>
        </w:rPr>
        <w:tab/>
      </w:r>
      <w:r w:rsidRPr="00FB05CB">
        <w:rPr>
          <w:lang w:val="nl-BE"/>
        </w:rPr>
        <w:t>2003)</w:t>
      </w:r>
    </w:p>
    <w:p w14:paraId="03BCB34D" w14:textId="658A392E" w:rsidR="0079516C" w:rsidRPr="00FB05CB" w:rsidRDefault="0079516C" w:rsidP="00CA0672">
      <w:pPr>
        <w:pStyle w:val="Plattetekst"/>
        <w:spacing w:beforeLines="120" w:before="288" w:line="360" w:lineRule="auto"/>
        <w:ind w:left="23" w:right="139"/>
        <w:jc w:val="both"/>
        <w:rPr>
          <w:lang w:val="nl-BE"/>
        </w:rPr>
      </w:pPr>
      <w:r w:rsidRPr="00FB05CB">
        <w:rPr>
          <w:lang w:val="nl-BE"/>
        </w:rPr>
        <w:lastRenderedPageBreak/>
        <w:t>Niyitegeka (Judgment and Sentence) ICTR-96-14-T (16 May 2003)</w:t>
      </w:r>
      <w:r w:rsidRPr="00FB05CB">
        <w:rPr>
          <w:lang w:val="nl-BE"/>
        </w:rPr>
        <w:tab/>
      </w:r>
    </w:p>
    <w:p w14:paraId="0746C900" w14:textId="77777777" w:rsidR="00170910" w:rsidRPr="00FB05CB" w:rsidRDefault="0079516C" w:rsidP="00CA0672">
      <w:pPr>
        <w:pStyle w:val="Plattetekst"/>
        <w:spacing w:beforeLines="120" w:before="288" w:line="360" w:lineRule="auto"/>
        <w:ind w:left="23" w:right="139"/>
        <w:jc w:val="both"/>
        <w:rPr>
          <w:spacing w:val="-2"/>
          <w:lang w:val="fr-BE"/>
        </w:rPr>
      </w:pPr>
      <w:r w:rsidRPr="00FB05CB">
        <w:rPr>
          <w:lang w:val="nl-BE"/>
        </w:rPr>
        <w:t>Rutaganda (Judgment and Sentence) ICTR-96-3-T (6 December 1999)</w:t>
      </w:r>
      <w:r w:rsidRPr="00FB05CB">
        <w:rPr>
          <w:lang w:val="nl-BE"/>
        </w:rPr>
        <w:br/>
      </w:r>
    </w:p>
    <w:p w14:paraId="65F3DE47" w14:textId="628935C8" w:rsidR="00170910" w:rsidRPr="00FB05CB" w:rsidRDefault="00170910" w:rsidP="00FB05CB">
      <w:pPr>
        <w:pStyle w:val="Kop3"/>
        <w:spacing w:beforeLines="120" w:before="288" w:line="240" w:lineRule="auto"/>
        <w:jc w:val="both"/>
        <w:rPr>
          <w:rFonts w:cs="Times New Roman"/>
        </w:rPr>
      </w:pPr>
      <w:bookmarkStart w:id="51" w:name="_Toc230376223"/>
      <w:r w:rsidRPr="00FB05CB">
        <w:rPr>
          <w:rFonts w:cs="Times New Roman"/>
        </w:rPr>
        <w:t>IC</w:t>
      </w:r>
      <w:r w:rsidRPr="00FB05CB">
        <w:rPr>
          <w:rFonts w:cs="Times New Roman"/>
        </w:rPr>
        <w:t>C</w:t>
      </w:r>
      <w:bookmarkEnd w:id="51"/>
    </w:p>
    <w:p w14:paraId="12E42345" w14:textId="77777777" w:rsidR="00CA0672" w:rsidRDefault="00170910" w:rsidP="00FB05CB">
      <w:pPr>
        <w:pStyle w:val="Plattetekst"/>
        <w:spacing w:beforeLines="120" w:before="288" w:line="360" w:lineRule="auto"/>
        <w:ind w:left="23" w:right="139"/>
        <w:jc w:val="both"/>
        <w:rPr>
          <w:spacing w:val="-2"/>
          <w:lang w:val="nl-BE"/>
        </w:rPr>
      </w:pPr>
      <w:r w:rsidRPr="00FB05CB">
        <w:rPr>
          <w:spacing w:val="-2"/>
          <w:lang w:val="nl-BE"/>
        </w:rPr>
        <w:br/>
      </w:r>
      <w:r w:rsidRPr="00FB05CB">
        <w:rPr>
          <w:spacing w:val="-2"/>
          <w:lang w:val="nl-BE"/>
        </w:rPr>
        <w:t xml:space="preserve">Al Bashir (Prosecutor’s Application for a Warrant of Arrest) ICC-02/05-157-AnxA (14 July </w:t>
      </w:r>
      <w:r w:rsidRPr="00FB05CB">
        <w:rPr>
          <w:spacing w:val="-2"/>
          <w:lang w:val="nl-BE"/>
        </w:rPr>
        <w:tab/>
      </w:r>
      <w:r w:rsidRPr="00FB05CB">
        <w:rPr>
          <w:spacing w:val="-2"/>
          <w:lang w:val="nl-BE"/>
        </w:rPr>
        <w:t>2008)</w:t>
      </w:r>
    </w:p>
    <w:p w14:paraId="001C7927" w14:textId="4F1C7C94" w:rsidR="00170910" w:rsidRPr="00FB05CB" w:rsidRDefault="00170910" w:rsidP="00FB05CB">
      <w:pPr>
        <w:pStyle w:val="Plattetekst"/>
        <w:spacing w:beforeLines="120" w:before="288" w:line="360" w:lineRule="auto"/>
        <w:ind w:left="23" w:right="139"/>
        <w:jc w:val="both"/>
        <w:rPr>
          <w:spacing w:val="-2"/>
          <w:lang w:val="nl-BE"/>
        </w:rPr>
      </w:pPr>
      <w:r w:rsidRPr="00FB05CB">
        <w:rPr>
          <w:spacing w:val="-2"/>
          <w:lang w:val="nl-BE"/>
        </w:rPr>
        <w:t xml:space="preserve">Omar Hassan Ahmad Al Bashir (Second Decision on the Prosecution’s Application for a Warrant </w:t>
      </w:r>
      <w:r w:rsidRPr="00FB05CB">
        <w:rPr>
          <w:spacing w:val="-2"/>
          <w:lang w:val="nl-BE"/>
        </w:rPr>
        <w:tab/>
      </w:r>
      <w:r w:rsidRPr="00FB05CB">
        <w:rPr>
          <w:spacing w:val="-2"/>
          <w:lang w:val="nl-BE"/>
        </w:rPr>
        <w:t>of Arrest) ICC-02/05-01/09 (Pre-Trial Chamber I, 12 July 2010)</w:t>
      </w:r>
    </w:p>
    <w:p w14:paraId="2ABD1C37" w14:textId="7D052221" w:rsidR="00170910" w:rsidRPr="00FB05CB" w:rsidRDefault="00511B5D" w:rsidP="00FB05CB">
      <w:pPr>
        <w:pStyle w:val="Kop3"/>
        <w:spacing w:beforeLines="120" w:before="288" w:line="240" w:lineRule="auto"/>
        <w:jc w:val="both"/>
        <w:rPr>
          <w:rFonts w:cs="Times New Roman"/>
          <w:lang w:val="nl-BE" w:eastAsia="nl-NL"/>
        </w:rPr>
      </w:pPr>
      <w:r w:rsidRPr="00FB05CB">
        <w:rPr>
          <w:rFonts w:cs="Times New Roman"/>
          <w:spacing w:val="-2"/>
        </w:rPr>
        <w:br/>
      </w:r>
      <w:bookmarkStart w:id="52" w:name="_Toc230376224"/>
      <w:proofErr w:type="spellStart"/>
      <w:r w:rsidR="00170910" w:rsidRPr="00FB05CB">
        <w:rPr>
          <w:rFonts w:cs="Times New Roman"/>
        </w:rPr>
        <w:t>ECtHR</w:t>
      </w:r>
      <w:bookmarkEnd w:id="52"/>
      <w:proofErr w:type="spellEnd"/>
      <w:r w:rsidR="00170910" w:rsidRPr="00FB05CB">
        <w:rPr>
          <w:rFonts w:cs="Times New Roman"/>
        </w:rPr>
        <w:t xml:space="preserve"> </w:t>
      </w:r>
      <w:r w:rsidR="00170910" w:rsidRPr="00FB05CB">
        <w:rPr>
          <w:rFonts w:cs="Times New Roman"/>
        </w:rPr>
        <w:tab/>
      </w:r>
      <w:r w:rsidR="00170910" w:rsidRPr="00FB05CB">
        <w:rPr>
          <w:rFonts w:cs="Times New Roman"/>
        </w:rPr>
        <w:br/>
      </w:r>
    </w:p>
    <w:p w14:paraId="33F04685" w14:textId="6BB1013F" w:rsidR="00170910" w:rsidRPr="00FB05CB" w:rsidRDefault="00170910" w:rsidP="00FB05CB">
      <w:pPr>
        <w:pStyle w:val="Normaalweb"/>
        <w:spacing w:beforeLines="120" w:before="288" w:line="360" w:lineRule="auto"/>
        <w:jc w:val="both"/>
        <w:rPr>
          <w:rFonts w:cs="Times New Roman"/>
        </w:rPr>
      </w:pPr>
      <w:r w:rsidRPr="00FB05CB">
        <w:rPr>
          <w:rFonts w:cs="Times New Roman"/>
        </w:rPr>
        <w:t>Perinçek v Switzerland App no 27510/08 (ECtHR, 15 October 2015)</w:t>
      </w:r>
      <w:r w:rsidR="00D723FF" w:rsidRPr="00FB05CB">
        <w:rPr>
          <w:rFonts w:cs="Times New Roman"/>
        </w:rPr>
        <w:tab/>
      </w:r>
    </w:p>
    <w:p w14:paraId="23CE1C4F" w14:textId="0917A8BD" w:rsidR="00170910" w:rsidRPr="00FB05CB" w:rsidRDefault="00170910" w:rsidP="00FB05CB">
      <w:pPr>
        <w:pStyle w:val="Normaalweb"/>
        <w:spacing w:beforeLines="120" w:before="288" w:line="360" w:lineRule="auto"/>
        <w:jc w:val="both"/>
        <w:rPr>
          <w:rFonts w:cs="Times New Roman"/>
        </w:rPr>
      </w:pPr>
      <w:r w:rsidRPr="00FB05CB">
        <w:rPr>
          <w:rFonts w:cs="Times New Roman"/>
        </w:rPr>
        <w:t>Vasiliauskas v Lithuania App no 35343/05 (ECtHR, 20 October 2015)</w:t>
      </w:r>
      <w:r w:rsidR="00D723FF" w:rsidRPr="00FB05CB">
        <w:rPr>
          <w:rFonts w:cs="Times New Roman"/>
        </w:rPr>
        <w:tab/>
      </w:r>
      <w:r w:rsidRPr="00FB05CB">
        <w:rPr>
          <w:rFonts w:cs="Times New Roman"/>
        </w:rPr>
        <w:br/>
      </w:r>
    </w:p>
    <w:p w14:paraId="3520BAD2" w14:textId="0089BCA3" w:rsidR="00170910" w:rsidRPr="00FB05CB" w:rsidRDefault="00170910" w:rsidP="00FB05CB">
      <w:pPr>
        <w:pStyle w:val="Kop3"/>
        <w:spacing w:beforeLines="120" w:before="288" w:line="240" w:lineRule="auto"/>
        <w:jc w:val="both"/>
        <w:rPr>
          <w:rFonts w:cs="Times New Roman"/>
        </w:rPr>
      </w:pPr>
      <w:bookmarkStart w:id="53" w:name="_Toc230376225"/>
      <w:proofErr w:type="spellStart"/>
      <w:r w:rsidRPr="00FB05CB">
        <w:rPr>
          <w:rFonts w:cs="Times New Roman"/>
        </w:rPr>
        <w:t>European</w:t>
      </w:r>
      <w:proofErr w:type="spellEnd"/>
      <w:r w:rsidRPr="00FB05CB">
        <w:rPr>
          <w:rFonts w:cs="Times New Roman"/>
        </w:rPr>
        <w:t xml:space="preserve"> Union</w:t>
      </w:r>
      <w:bookmarkEnd w:id="53"/>
      <w:r w:rsidRPr="00FB05CB">
        <w:rPr>
          <w:rFonts w:cs="Times New Roman"/>
        </w:rPr>
        <w:tab/>
      </w:r>
      <w:r w:rsidRPr="00FB05CB">
        <w:rPr>
          <w:rFonts w:cs="Times New Roman"/>
        </w:rPr>
        <w:br/>
      </w:r>
    </w:p>
    <w:p w14:paraId="43ABE600" w14:textId="3F165829" w:rsidR="00170910" w:rsidRPr="00FB05CB" w:rsidRDefault="00170910" w:rsidP="00FB05CB">
      <w:pPr>
        <w:pStyle w:val="Normaalweb"/>
        <w:spacing w:beforeLines="120" w:before="288" w:line="360" w:lineRule="auto"/>
        <w:jc w:val="both"/>
        <w:rPr>
          <w:rFonts w:cs="Times New Roman"/>
        </w:rPr>
      </w:pPr>
      <w:r w:rsidRPr="00FB05CB">
        <w:rPr>
          <w:rFonts w:cs="Times New Roman"/>
        </w:rPr>
        <w:t>Arne Mathisen AS v Council (T-344/99) [2002] ECR II-2905</w:t>
      </w:r>
      <w:r w:rsidRPr="00FB05CB">
        <w:rPr>
          <w:rFonts w:cs="Times New Roman"/>
        </w:rPr>
        <w:tab/>
      </w:r>
      <w:r w:rsidRPr="00FB05CB">
        <w:rPr>
          <w:rFonts w:cs="Times New Roman"/>
        </w:rPr>
        <w:br/>
      </w:r>
    </w:p>
    <w:p w14:paraId="34A3746E" w14:textId="72604644" w:rsidR="00170910" w:rsidRPr="00FB05CB" w:rsidRDefault="00170910" w:rsidP="00FB05CB">
      <w:pPr>
        <w:pStyle w:val="Kop3"/>
        <w:spacing w:beforeLines="120" w:before="288" w:line="240" w:lineRule="auto"/>
        <w:jc w:val="both"/>
        <w:rPr>
          <w:rFonts w:cs="Times New Roman"/>
        </w:rPr>
      </w:pPr>
      <w:bookmarkStart w:id="54" w:name="_Toc230376226"/>
      <w:r w:rsidRPr="00FB05CB">
        <w:rPr>
          <w:rFonts w:cs="Times New Roman"/>
        </w:rPr>
        <w:t xml:space="preserve">Other </w:t>
      </w:r>
      <w:r w:rsidRPr="00FB05CB">
        <w:rPr>
          <w:rFonts w:cs="Times New Roman"/>
        </w:rPr>
        <w:t>i</w:t>
      </w:r>
      <w:r w:rsidRPr="00FB05CB">
        <w:rPr>
          <w:rFonts w:cs="Times New Roman"/>
        </w:rPr>
        <w:t xml:space="preserve">nternational </w:t>
      </w:r>
      <w:proofErr w:type="spellStart"/>
      <w:r w:rsidRPr="00FB05CB">
        <w:rPr>
          <w:rFonts w:cs="Times New Roman"/>
        </w:rPr>
        <w:t>t</w:t>
      </w:r>
      <w:r w:rsidRPr="00FB05CB">
        <w:rPr>
          <w:rFonts w:cs="Times New Roman"/>
        </w:rPr>
        <w:t>ribunals</w:t>
      </w:r>
      <w:bookmarkEnd w:id="54"/>
      <w:proofErr w:type="spellEnd"/>
      <w:r w:rsidRPr="00FB05CB">
        <w:rPr>
          <w:rFonts w:cs="Times New Roman"/>
        </w:rPr>
        <w:tab/>
      </w:r>
      <w:r w:rsidR="00D723FF" w:rsidRPr="00FB05CB">
        <w:rPr>
          <w:rFonts w:cs="Times New Roman"/>
        </w:rPr>
        <w:br/>
      </w:r>
    </w:p>
    <w:p w14:paraId="3626C750" w14:textId="1B34F5F9" w:rsidR="00170910" w:rsidRPr="00295DF7" w:rsidRDefault="00170910" w:rsidP="00295DF7">
      <w:pPr>
        <w:pStyle w:val="Normaalweb"/>
        <w:spacing w:beforeLines="120" w:before="288" w:line="360" w:lineRule="auto"/>
        <w:jc w:val="both"/>
        <w:rPr>
          <w:rFonts w:cs="Times New Roman"/>
        </w:rPr>
      </w:pPr>
      <w:r w:rsidRPr="00FB05CB">
        <w:rPr>
          <w:rFonts w:cs="Times New Roman"/>
        </w:rPr>
        <w:t xml:space="preserve">Western Front, Aerial Bombardment and Related Claims (Eritrea’s Claim 26 v Ethiopia) (Partial </w:t>
      </w:r>
      <w:r w:rsidRPr="00FB05CB">
        <w:rPr>
          <w:rFonts w:cs="Times New Roman"/>
        </w:rPr>
        <w:tab/>
      </w:r>
      <w:r w:rsidRPr="00FB05CB">
        <w:rPr>
          <w:rFonts w:cs="Times New Roman"/>
        </w:rPr>
        <w:t>Award) EECC (19 December 2005)</w:t>
      </w:r>
    </w:p>
    <w:p w14:paraId="1BF38321" w14:textId="5DB0908F" w:rsidR="00EC2482" w:rsidRPr="00FB05CB" w:rsidRDefault="00EC2482" w:rsidP="00FB05CB">
      <w:pPr>
        <w:pStyle w:val="Kop2"/>
        <w:spacing w:beforeLines="120" w:before="288" w:line="240" w:lineRule="auto"/>
        <w:jc w:val="both"/>
        <w:rPr>
          <w:rFonts w:ascii="Times New Roman" w:hAnsi="Times New Roman" w:cs="Times New Roman"/>
          <w:b/>
          <w:bCs/>
        </w:rPr>
      </w:pPr>
      <w:bookmarkStart w:id="55" w:name="_Toc230376227"/>
      <w:r w:rsidRPr="00FB05CB">
        <w:rPr>
          <w:rFonts w:ascii="Times New Roman" w:hAnsi="Times New Roman" w:cs="Times New Roman"/>
          <w:b/>
          <w:bCs/>
        </w:rPr>
        <w:lastRenderedPageBreak/>
        <w:t>Jurisprudence</w:t>
      </w:r>
      <w:bookmarkEnd w:id="55"/>
    </w:p>
    <w:p w14:paraId="25BD5186" w14:textId="59A69324" w:rsidR="00EC2482" w:rsidRPr="00FB05CB" w:rsidRDefault="00EC2482" w:rsidP="00FB05CB">
      <w:pPr>
        <w:pStyle w:val="Kop3"/>
        <w:spacing w:beforeLines="120" w:before="288" w:line="240" w:lineRule="auto"/>
        <w:jc w:val="both"/>
        <w:rPr>
          <w:rFonts w:cs="Times New Roman"/>
        </w:rPr>
      </w:pPr>
      <w:bookmarkStart w:id="56" w:name="_Toc230376228"/>
      <w:proofErr w:type="spellStart"/>
      <w:r w:rsidRPr="00FB05CB">
        <w:rPr>
          <w:rFonts w:cs="Times New Roman"/>
        </w:rPr>
        <w:t>Handbooks</w:t>
      </w:r>
      <w:bookmarkEnd w:id="56"/>
      <w:proofErr w:type="spellEnd"/>
    </w:p>
    <w:p w14:paraId="1218B0F4" w14:textId="7DED0871" w:rsidR="00460A30" w:rsidRPr="00FB05CB" w:rsidRDefault="00460A30" w:rsidP="00CA0672">
      <w:pPr>
        <w:adjustRightInd w:val="0"/>
        <w:spacing w:beforeLines="120" w:before="288" w:after="0" w:line="360" w:lineRule="auto"/>
        <w:jc w:val="both"/>
        <w:rPr>
          <w:lang w:val="nl-BE" w:eastAsia="nl-NL"/>
        </w:rPr>
      </w:pPr>
      <w:r w:rsidRPr="00FB05CB">
        <w:rPr>
          <w:lang w:val="nl-BE" w:eastAsia="nl-NL"/>
        </w:rPr>
        <w:t xml:space="preserve">Ambos K, </w:t>
      </w:r>
      <w:r w:rsidRPr="00FB05CB">
        <w:rPr>
          <w:i/>
          <w:iCs/>
          <w:lang w:val="nl-BE" w:eastAsia="nl-NL"/>
        </w:rPr>
        <w:t>Treatise on International Criminal Law: Volume II: The Crimes and Sentencing</w:t>
      </w:r>
      <w:r w:rsidRPr="00FB05CB">
        <w:rPr>
          <w:lang w:val="nl-BE" w:eastAsia="nl-NL"/>
        </w:rPr>
        <w:t xml:space="preserve"> </w:t>
      </w:r>
      <w:r w:rsidR="00754489" w:rsidRPr="00FB05CB">
        <w:rPr>
          <w:lang w:val="nl-BE" w:eastAsia="nl-NL"/>
        </w:rPr>
        <w:tab/>
      </w:r>
      <w:r w:rsidRPr="00FB05CB">
        <w:rPr>
          <w:lang w:val="nl-BE" w:eastAsia="nl-NL"/>
        </w:rPr>
        <w:t>(Oxford University Press 2022)</w:t>
      </w:r>
    </w:p>
    <w:p w14:paraId="523480A9"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Austin JE and Bruch CE, </w:t>
      </w:r>
      <w:r w:rsidRPr="00FB05CB">
        <w:rPr>
          <w:i/>
          <w:iCs/>
          <w:lang w:val="nl-BE" w:eastAsia="nl-NL"/>
        </w:rPr>
        <w:t xml:space="preserve">The Environmental Consequences of War: Legal, Economic, and </w:t>
      </w:r>
      <w:r w:rsidR="00754489" w:rsidRPr="00FB05CB">
        <w:rPr>
          <w:i/>
          <w:iCs/>
          <w:lang w:val="nl-BE" w:eastAsia="nl-NL"/>
        </w:rPr>
        <w:tab/>
      </w:r>
      <w:r w:rsidRPr="00FB05CB">
        <w:rPr>
          <w:i/>
          <w:iCs/>
          <w:lang w:val="nl-BE" w:eastAsia="nl-NL"/>
        </w:rPr>
        <w:t>Scientific Perspectives</w:t>
      </w:r>
      <w:r w:rsidRPr="00FB05CB">
        <w:rPr>
          <w:lang w:val="nl-BE" w:eastAsia="nl-NL"/>
        </w:rPr>
        <w:t xml:space="preserve"> (Cambridge University Press 2000)</w:t>
      </w:r>
      <w:r w:rsidR="00754489" w:rsidRPr="00FB05CB">
        <w:rPr>
          <w:lang w:val="nl-BE" w:eastAsia="nl-NL"/>
        </w:rPr>
        <w:tab/>
      </w:r>
    </w:p>
    <w:p w14:paraId="578DE468" w14:textId="4BDF57B4"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Cassese A, </w:t>
      </w:r>
      <w:r w:rsidRPr="00FB05CB">
        <w:rPr>
          <w:i/>
          <w:iCs/>
          <w:lang w:val="nl-BE" w:eastAsia="nl-NL"/>
        </w:rPr>
        <w:t>International Law</w:t>
      </w:r>
      <w:r w:rsidRPr="00FB05CB">
        <w:rPr>
          <w:lang w:val="nl-BE" w:eastAsia="nl-NL"/>
        </w:rPr>
        <w:t xml:space="preserve"> (2nd edn, Oxford University Press 2005)</w:t>
      </w:r>
    </w:p>
    <w:p w14:paraId="2EFF8663" w14:textId="157228A4" w:rsidR="00CA0672" w:rsidRDefault="00754489" w:rsidP="00CA0672">
      <w:pPr>
        <w:adjustRightInd w:val="0"/>
        <w:spacing w:beforeLines="120" w:before="288" w:after="0" w:line="360" w:lineRule="auto"/>
        <w:jc w:val="both"/>
        <w:rPr>
          <w:lang w:val="nl-BE" w:eastAsia="nl-NL"/>
        </w:rPr>
      </w:pPr>
      <w:r w:rsidRPr="00FB05CB">
        <w:rPr>
          <w:lang w:val="nl-BE" w:eastAsia="nl-NL"/>
        </w:rPr>
        <w:t>Cassese A</w:t>
      </w:r>
      <w:r w:rsidR="00460A30" w:rsidRPr="00FB05CB">
        <w:rPr>
          <w:lang w:val="nl-BE" w:eastAsia="nl-NL"/>
        </w:rPr>
        <w:t xml:space="preserve">, Acquaviva G, Fan M and Whiting A, </w:t>
      </w:r>
      <w:r w:rsidR="00460A30" w:rsidRPr="00FB05CB">
        <w:rPr>
          <w:i/>
          <w:iCs/>
          <w:lang w:val="nl-BE" w:eastAsia="nl-NL"/>
        </w:rPr>
        <w:t xml:space="preserve">International Criminal Law: Cases &amp; </w:t>
      </w:r>
      <w:r w:rsidRPr="00FB05CB">
        <w:rPr>
          <w:i/>
          <w:iCs/>
          <w:lang w:val="nl-BE" w:eastAsia="nl-NL"/>
        </w:rPr>
        <w:tab/>
      </w:r>
      <w:r w:rsidR="00460A30" w:rsidRPr="00FB05CB">
        <w:rPr>
          <w:i/>
          <w:iCs/>
          <w:lang w:val="nl-BE" w:eastAsia="nl-NL"/>
        </w:rPr>
        <w:t>Commentary</w:t>
      </w:r>
      <w:r w:rsidR="00460A30" w:rsidRPr="00FB05CB">
        <w:rPr>
          <w:lang w:val="nl-BE" w:eastAsia="nl-NL"/>
        </w:rPr>
        <w:t xml:space="preserve"> (Oxford University Press 2011)</w:t>
      </w:r>
      <w:r w:rsidR="00CA0672">
        <w:rPr>
          <w:lang w:val="nl-BE" w:eastAsia="nl-NL"/>
        </w:rPr>
        <w:tab/>
      </w:r>
    </w:p>
    <w:p w14:paraId="31478CA2"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Dinstein Y, The Conduct of Hostilities under the Law of International Armed Conflict (3rd edn, </w:t>
      </w:r>
      <w:r w:rsidR="00754489" w:rsidRPr="00FB05CB">
        <w:rPr>
          <w:lang w:val="nl-BE" w:eastAsia="nl-NL"/>
        </w:rPr>
        <w:tab/>
      </w:r>
      <w:r w:rsidRPr="00FB05CB">
        <w:rPr>
          <w:lang w:val="nl-BE" w:eastAsia="nl-NL"/>
        </w:rPr>
        <w:t>Cambridge University Press 2016)</w:t>
      </w:r>
      <w:r w:rsidR="00754489" w:rsidRPr="00FB05CB">
        <w:rPr>
          <w:lang w:val="nl-BE" w:eastAsia="nl-NL"/>
        </w:rPr>
        <w:tab/>
      </w:r>
    </w:p>
    <w:p w14:paraId="5B196201"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Dixon M, Textbook on International Law (Blackstone Press 2000)</w:t>
      </w:r>
      <w:r w:rsidR="00754489" w:rsidRPr="00FB05CB">
        <w:rPr>
          <w:lang w:val="nl-BE" w:eastAsia="nl-NL"/>
        </w:rPr>
        <w:tab/>
      </w:r>
    </w:p>
    <w:p w14:paraId="55BCA731" w14:textId="77777777" w:rsidR="00CA0672" w:rsidRDefault="00754489" w:rsidP="00CA0672">
      <w:pPr>
        <w:adjustRightInd w:val="0"/>
        <w:spacing w:beforeLines="120" w:before="288" w:after="0" w:line="360" w:lineRule="auto"/>
        <w:jc w:val="both"/>
        <w:rPr>
          <w:lang w:val="nl-BE" w:eastAsia="nl-NL"/>
        </w:rPr>
      </w:pPr>
      <w:r w:rsidRPr="00FB05CB">
        <w:rPr>
          <w:lang w:val="nl-BE" w:eastAsia="nl-NL"/>
        </w:rPr>
        <w:t>Dixon M</w:t>
      </w:r>
      <w:r w:rsidR="00460A30" w:rsidRPr="00FB05CB">
        <w:rPr>
          <w:lang w:val="nl-BE" w:eastAsia="nl-NL"/>
        </w:rPr>
        <w:t xml:space="preserve">, McCorquodale R and Williams S, Cases and Materials on International Law (Oxford </w:t>
      </w:r>
      <w:r w:rsidRPr="00FB05CB">
        <w:rPr>
          <w:lang w:val="nl-BE" w:eastAsia="nl-NL"/>
        </w:rPr>
        <w:tab/>
      </w:r>
      <w:r w:rsidR="00460A30" w:rsidRPr="00FB05CB">
        <w:rPr>
          <w:lang w:val="nl-BE" w:eastAsia="nl-NL"/>
        </w:rPr>
        <w:t>University Press 2011)</w:t>
      </w:r>
      <w:r w:rsidRPr="00FB05CB">
        <w:rPr>
          <w:lang w:val="nl-BE" w:eastAsia="nl-NL"/>
        </w:rPr>
        <w:tab/>
      </w:r>
    </w:p>
    <w:p w14:paraId="78303282"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Gardiner R, Treaty Interpretation (2nd edn, Oxford University Press 2015)</w:t>
      </w:r>
      <w:r w:rsidR="00754489" w:rsidRPr="00FB05CB">
        <w:rPr>
          <w:lang w:val="nl-BE" w:eastAsia="nl-NL"/>
        </w:rPr>
        <w:tab/>
      </w:r>
    </w:p>
    <w:p w14:paraId="4022B96E"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Henckaerts J-M and Doswald-Beck L, Customary International Humanitarian Law (Cambridge </w:t>
      </w:r>
      <w:r w:rsidR="00754489" w:rsidRPr="00FB05CB">
        <w:rPr>
          <w:lang w:val="nl-BE" w:eastAsia="nl-NL"/>
        </w:rPr>
        <w:tab/>
      </w:r>
      <w:r w:rsidRPr="00FB05CB">
        <w:rPr>
          <w:lang w:val="nl-BE" w:eastAsia="nl-NL"/>
        </w:rPr>
        <w:t>University Press 2005)</w:t>
      </w:r>
      <w:r w:rsidR="00754489" w:rsidRPr="00FB05CB">
        <w:rPr>
          <w:lang w:val="nl-BE" w:eastAsia="nl-NL"/>
        </w:rPr>
        <w:tab/>
      </w:r>
    </w:p>
    <w:p w14:paraId="1A5A0F44"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Hernandez G, International Law (Oxford University Press 2025)</w:t>
      </w:r>
      <w:r w:rsidR="00754489" w:rsidRPr="00FB05CB">
        <w:rPr>
          <w:lang w:val="nl-BE" w:eastAsia="nl-NL"/>
        </w:rPr>
        <w:tab/>
      </w:r>
    </w:p>
    <w:p w14:paraId="16C043E5"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Hulme K, War Torn Environment: Interpreting the Legal Threshold (Martinus Nijhoff 2004)</w:t>
      </w:r>
      <w:r w:rsidR="00754489" w:rsidRPr="00FB05CB">
        <w:rPr>
          <w:lang w:val="nl-BE" w:eastAsia="nl-NL"/>
        </w:rPr>
        <w:tab/>
      </w:r>
    </w:p>
    <w:p w14:paraId="3F079D8C"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Kaczorowska-Ireland A, Public International Law (Routledge 2015)</w:t>
      </w:r>
      <w:r w:rsidR="00754489" w:rsidRPr="00FB05CB">
        <w:rPr>
          <w:lang w:val="nl-BE" w:eastAsia="nl-NL"/>
        </w:rPr>
        <w:tab/>
      </w:r>
    </w:p>
    <w:p w14:paraId="5F191A65"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Kemp G, Criminal Law in South Africa (Oxford University Press 2015)</w:t>
      </w:r>
      <w:r w:rsidR="00754489" w:rsidRPr="00FB05CB">
        <w:rPr>
          <w:lang w:val="nl-BE" w:eastAsia="nl-NL"/>
        </w:rPr>
        <w:tab/>
      </w:r>
    </w:p>
    <w:p w14:paraId="021FD98B"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Kourtis D, Genocide and the Right to Exist (TMC Asser Press 2024)</w:t>
      </w:r>
      <w:r w:rsidR="00754489" w:rsidRPr="00FB05CB">
        <w:rPr>
          <w:lang w:val="nl-BE" w:eastAsia="nl-NL"/>
        </w:rPr>
        <w:tab/>
      </w:r>
    </w:p>
    <w:p w14:paraId="6A3C56B2"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lastRenderedPageBreak/>
        <w:t>Lattimer M, Genocide and Human Rights (Ashgate Publishing 2007)</w:t>
      </w:r>
      <w:r w:rsidR="00754489" w:rsidRPr="00FB05CB">
        <w:rPr>
          <w:lang w:val="nl-BE" w:eastAsia="nl-NL"/>
        </w:rPr>
        <w:tab/>
      </w:r>
    </w:p>
    <w:p w14:paraId="4A6CD94D"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Lemkin R, Axis Rule in Occupied Europe: Laws of Occupation, Analysis of Government, </w:t>
      </w:r>
      <w:r w:rsidR="00754489" w:rsidRPr="00FB05CB">
        <w:rPr>
          <w:lang w:val="nl-BE" w:eastAsia="nl-NL"/>
        </w:rPr>
        <w:tab/>
      </w:r>
      <w:r w:rsidRPr="00FB05CB">
        <w:rPr>
          <w:lang w:val="nl-BE" w:eastAsia="nl-NL"/>
        </w:rPr>
        <w:t>Proposals for Redress (Carnegie Endowment for International Peace 1944)</w:t>
      </w:r>
      <w:r w:rsidR="00754489" w:rsidRPr="00FB05CB">
        <w:rPr>
          <w:lang w:val="nl-BE" w:eastAsia="nl-NL"/>
        </w:rPr>
        <w:tab/>
      </w:r>
    </w:p>
    <w:p w14:paraId="0FDFF6FA"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Meron T, The Humanization of International Law (Martinus Nijhoff Publishers 2006)</w:t>
      </w:r>
      <w:r w:rsidR="00754489" w:rsidRPr="00FB05CB">
        <w:rPr>
          <w:lang w:val="nl-BE" w:eastAsia="nl-NL"/>
        </w:rPr>
        <w:tab/>
      </w:r>
    </w:p>
    <w:p w14:paraId="530D016A"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Nersessian DL, </w:t>
      </w:r>
      <w:r w:rsidRPr="00FB05CB">
        <w:rPr>
          <w:i/>
          <w:iCs/>
          <w:lang w:val="nl-BE" w:eastAsia="nl-NL"/>
        </w:rPr>
        <w:t>Genocide and Political Groups</w:t>
      </w:r>
      <w:r w:rsidRPr="00FB05CB">
        <w:rPr>
          <w:lang w:val="nl-BE" w:eastAsia="nl-NL"/>
        </w:rPr>
        <w:t xml:space="preserve"> (Oxford University Press 2010)</w:t>
      </w:r>
      <w:r w:rsidR="00754489" w:rsidRPr="00FB05CB">
        <w:rPr>
          <w:lang w:val="nl-BE" w:eastAsia="nl-NL"/>
        </w:rPr>
        <w:tab/>
      </w:r>
    </w:p>
    <w:p w14:paraId="714D2403"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Nollkaemper A, </w:t>
      </w:r>
      <w:r w:rsidRPr="00FB05CB">
        <w:rPr>
          <w:i/>
          <w:iCs/>
          <w:lang w:val="nl-BE" w:eastAsia="nl-NL"/>
        </w:rPr>
        <w:t>Kern van het internationaal publiekrecht</w:t>
      </w:r>
      <w:r w:rsidRPr="00FB05CB">
        <w:rPr>
          <w:lang w:val="nl-BE" w:eastAsia="nl-NL"/>
        </w:rPr>
        <w:t xml:space="preserve"> (Boom Juridisch 2019)</w:t>
      </w:r>
      <w:r w:rsidR="00754489" w:rsidRPr="00FB05CB">
        <w:rPr>
          <w:lang w:val="nl-BE" w:eastAsia="nl-NL"/>
        </w:rPr>
        <w:tab/>
      </w:r>
    </w:p>
    <w:p w14:paraId="671298F6"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Novic E, </w:t>
      </w:r>
      <w:r w:rsidRPr="00FB05CB">
        <w:rPr>
          <w:i/>
          <w:iCs/>
          <w:lang w:val="nl-BE" w:eastAsia="nl-NL"/>
        </w:rPr>
        <w:t>The Concept of Cultural Genocide: An International Law Perspective</w:t>
      </w:r>
      <w:r w:rsidRPr="00FB05CB">
        <w:rPr>
          <w:lang w:val="nl-BE" w:eastAsia="nl-NL"/>
        </w:rPr>
        <w:t xml:space="preserve"> (Oxford </w:t>
      </w:r>
      <w:r w:rsidR="00754489" w:rsidRPr="00FB05CB">
        <w:rPr>
          <w:lang w:val="nl-BE" w:eastAsia="nl-NL"/>
        </w:rPr>
        <w:tab/>
      </w:r>
      <w:r w:rsidRPr="00FB05CB">
        <w:rPr>
          <w:lang w:val="nl-BE" w:eastAsia="nl-NL"/>
        </w:rPr>
        <w:t>University Press 2016)</w:t>
      </w:r>
      <w:r w:rsidR="00754489" w:rsidRPr="00FB05CB">
        <w:rPr>
          <w:lang w:val="nl-BE" w:eastAsia="nl-NL"/>
        </w:rPr>
        <w:tab/>
      </w:r>
    </w:p>
    <w:p w14:paraId="06D86979"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Ratner S and Abrams J, </w:t>
      </w:r>
      <w:r w:rsidRPr="00FB05CB">
        <w:rPr>
          <w:i/>
          <w:iCs/>
          <w:lang w:val="nl-BE" w:eastAsia="nl-NL"/>
        </w:rPr>
        <w:t xml:space="preserve">Accountability for Human Rights Atrocities in International Law: Beyond </w:t>
      </w:r>
      <w:r w:rsidR="00754489" w:rsidRPr="00FB05CB">
        <w:rPr>
          <w:i/>
          <w:iCs/>
          <w:lang w:val="nl-BE" w:eastAsia="nl-NL"/>
        </w:rPr>
        <w:tab/>
      </w:r>
      <w:r w:rsidRPr="00FB05CB">
        <w:rPr>
          <w:i/>
          <w:iCs/>
          <w:lang w:val="nl-BE" w:eastAsia="nl-NL"/>
        </w:rPr>
        <w:t>the Nuremberg Legacy</w:t>
      </w:r>
      <w:r w:rsidRPr="00FB05CB">
        <w:rPr>
          <w:lang w:val="nl-BE" w:eastAsia="nl-NL"/>
        </w:rPr>
        <w:t xml:space="preserve"> (Clarendon Press 1997)</w:t>
      </w:r>
      <w:r w:rsidR="00754489" w:rsidRPr="00FB05CB">
        <w:rPr>
          <w:lang w:val="nl-BE" w:eastAsia="nl-NL"/>
        </w:rPr>
        <w:tab/>
      </w:r>
    </w:p>
    <w:p w14:paraId="032DACB6"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Rothwell DR, Kaye S, Akhtarkhavari A, Davis R and Saunders I, </w:t>
      </w:r>
      <w:r w:rsidRPr="00FB05CB">
        <w:rPr>
          <w:i/>
          <w:iCs/>
          <w:lang w:val="nl-BE" w:eastAsia="nl-NL"/>
        </w:rPr>
        <w:t xml:space="preserve">International Law: Cases and </w:t>
      </w:r>
      <w:r w:rsidR="00754489" w:rsidRPr="00FB05CB">
        <w:rPr>
          <w:i/>
          <w:iCs/>
          <w:lang w:val="nl-BE" w:eastAsia="nl-NL"/>
        </w:rPr>
        <w:tab/>
      </w:r>
      <w:r w:rsidRPr="00FB05CB">
        <w:rPr>
          <w:i/>
          <w:iCs/>
          <w:lang w:val="nl-BE" w:eastAsia="nl-NL"/>
        </w:rPr>
        <w:t>Materials with Australian Perspectives</w:t>
      </w:r>
      <w:r w:rsidRPr="00FB05CB">
        <w:rPr>
          <w:lang w:val="nl-BE" w:eastAsia="nl-NL"/>
        </w:rPr>
        <w:t xml:space="preserve"> (Cambridge University Press 2018)</w:t>
      </w:r>
      <w:r w:rsidR="00754489" w:rsidRPr="00FB05CB">
        <w:rPr>
          <w:lang w:val="nl-BE" w:eastAsia="nl-NL"/>
        </w:rPr>
        <w:tab/>
      </w:r>
    </w:p>
    <w:p w14:paraId="03A25D9B"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Sands P, </w:t>
      </w:r>
      <w:r w:rsidRPr="00FB05CB">
        <w:rPr>
          <w:i/>
          <w:iCs/>
          <w:lang w:val="nl-BE" w:eastAsia="nl-NL"/>
        </w:rPr>
        <w:t>East West Street: On the Origins of Genocide and Crimes Against Humanity</w:t>
      </w:r>
      <w:r w:rsidRPr="00FB05CB">
        <w:rPr>
          <w:lang w:val="nl-BE" w:eastAsia="nl-NL"/>
        </w:rPr>
        <w:t xml:space="preserve"> </w:t>
      </w:r>
      <w:r w:rsidR="00754489" w:rsidRPr="00FB05CB">
        <w:rPr>
          <w:lang w:val="nl-BE" w:eastAsia="nl-NL"/>
        </w:rPr>
        <w:tab/>
      </w:r>
      <w:r w:rsidRPr="00FB05CB">
        <w:rPr>
          <w:lang w:val="nl-BE" w:eastAsia="nl-NL"/>
        </w:rPr>
        <w:t>(Weidenfeld &amp; Nicolson 2016)</w:t>
      </w:r>
      <w:r w:rsidR="00754489" w:rsidRPr="00FB05CB">
        <w:rPr>
          <w:lang w:val="nl-BE" w:eastAsia="nl-NL"/>
        </w:rPr>
        <w:tab/>
      </w:r>
    </w:p>
    <w:p w14:paraId="05D3FF09"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Schabas WA, </w:t>
      </w:r>
      <w:r w:rsidRPr="00FB05CB">
        <w:rPr>
          <w:i/>
          <w:iCs/>
          <w:lang w:val="nl-BE" w:eastAsia="nl-NL"/>
        </w:rPr>
        <w:t>Genocide in International Law: The Crime of Crimes</w:t>
      </w:r>
      <w:r w:rsidRPr="00FB05CB">
        <w:rPr>
          <w:lang w:val="nl-BE" w:eastAsia="nl-NL"/>
        </w:rPr>
        <w:t xml:space="preserve"> (2nd edn, Cambridge </w:t>
      </w:r>
      <w:r w:rsidR="00754489" w:rsidRPr="00FB05CB">
        <w:rPr>
          <w:lang w:val="nl-BE" w:eastAsia="nl-NL"/>
        </w:rPr>
        <w:tab/>
      </w:r>
      <w:r w:rsidRPr="00FB05CB">
        <w:rPr>
          <w:lang w:val="nl-BE" w:eastAsia="nl-NL"/>
        </w:rPr>
        <w:t>University Press 2009)</w:t>
      </w:r>
      <w:r w:rsidR="00754489" w:rsidRPr="00FB05CB">
        <w:rPr>
          <w:lang w:val="nl-BE" w:eastAsia="nl-NL"/>
        </w:rPr>
        <w:tab/>
      </w:r>
    </w:p>
    <w:p w14:paraId="1E8BE681" w14:textId="77777777" w:rsidR="00CA0672" w:rsidRDefault="00754489" w:rsidP="00CA0672">
      <w:pPr>
        <w:adjustRightInd w:val="0"/>
        <w:spacing w:beforeLines="120" w:before="288" w:after="0" w:line="360" w:lineRule="auto"/>
        <w:jc w:val="both"/>
        <w:rPr>
          <w:lang w:val="nl-BE" w:eastAsia="nl-NL"/>
        </w:rPr>
      </w:pPr>
      <w:r w:rsidRPr="00FB05CB">
        <w:rPr>
          <w:lang w:val="nl-BE" w:eastAsia="nl-NL"/>
        </w:rPr>
        <w:t>Schabas WA</w:t>
      </w:r>
      <w:r w:rsidR="00460A30" w:rsidRPr="00FB05CB">
        <w:rPr>
          <w:lang w:val="nl-BE" w:eastAsia="nl-NL"/>
        </w:rPr>
        <w:t xml:space="preserve">, </w:t>
      </w:r>
      <w:r w:rsidR="00460A30" w:rsidRPr="00FB05CB">
        <w:rPr>
          <w:i/>
          <w:iCs/>
          <w:lang w:val="nl-BE" w:eastAsia="nl-NL"/>
        </w:rPr>
        <w:t>Genocide in International Law</w:t>
      </w:r>
      <w:r w:rsidR="00460A30" w:rsidRPr="00FB05CB">
        <w:rPr>
          <w:lang w:val="nl-BE" w:eastAsia="nl-NL"/>
        </w:rPr>
        <w:t xml:space="preserve"> (3rd edn, Cambridge University Press 2025)</w:t>
      </w:r>
      <w:r w:rsidRPr="00FB05CB">
        <w:rPr>
          <w:lang w:val="nl-BE" w:eastAsia="nl-NL"/>
        </w:rPr>
        <w:tab/>
      </w:r>
    </w:p>
    <w:p w14:paraId="225FCD80"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Shaw M, </w:t>
      </w:r>
      <w:r w:rsidRPr="00FB05CB">
        <w:rPr>
          <w:i/>
          <w:iCs/>
          <w:lang w:val="nl-BE" w:eastAsia="nl-NL"/>
        </w:rPr>
        <w:t>International Law</w:t>
      </w:r>
      <w:r w:rsidRPr="00FB05CB">
        <w:rPr>
          <w:lang w:val="nl-BE" w:eastAsia="nl-NL"/>
        </w:rPr>
        <w:t xml:space="preserve"> (9th edn, Cambridge University Press 2021)</w:t>
      </w:r>
      <w:r w:rsidR="00754489" w:rsidRPr="00FB05CB">
        <w:rPr>
          <w:lang w:val="nl-BE" w:eastAsia="nl-NL"/>
        </w:rPr>
        <w:tab/>
      </w:r>
    </w:p>
    <w:p w14:paraId="352558B2"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Shelton D, </w:t>
      </w:r>
      <w:r w:rsidRPr="00FB05CB">
        <w:rPr>
          <w:i/>
          <w:iCs/>
          <w:lang w:val="nl-BE" w:eastAsia="nl-NL"/>
        </w:rPr>
        <w:t>Jus Cogens</w:t>
      </w:r>
      <w:r w:rsidRPr="00FB05CB">
        <w:rPr>
          <w:lang w:val="nl-BE" w:eastAsia="nl-NL"/>
        </w:rPr>
        <w:t xml:space="preserve"> (Oxford University Press 2021)</w:t>
      </w:r>
      <w:r w:rsidR="00754489" w:rsidRPr="00FB05CB">
        <w:rPr>
          <w:lang w:val="nl-BE" w:eastAsia="nl-NL"/>
        </w:rPr>
        <w:tab/>
      </w:r>
    </w:p>
    <w:p w14:paraId="5A6FD9B0"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Tan Y, </w:t>
      </w:r>
      <w:r w:rsidRPr="00FB05CB">
        <w:rPr>
          <w:i/>
          <w:iCs/>
          <w:lang w:val="nl-BE" w:eastAsia="nl-NL"/>
        </w:rPr>
        <w:t>The Rome Statute as Evidence of Customary International Law</w:t>
      </w:r>
      <w:r w:rsidRPr="00FB05CB">
        <w:rPr>
          <w:lang w:val="nl-BE" w:eastAsia="nl-NL"/>
        </w:rPr>
        <w:t xml:space="preserve"> (Meijers-reeks 2019)</w:t>
      </w:r>
      <w:r w:rsidR="00754489" w:rsidRPr="00FB05CB">
        <w:rPr>
          <w:lang w:val="nl-BE" w:eastAsia="nl-NL"/>
        </w:rPr>
        <w:tab/>
      </w:r>
    </w:p>
    <w:p w14:paraId="65656BBA" w14:textId="77777777" w:rsidR="00CA0672" w:rsidRDefault="00460A30" w:rsidP="00CA0672">
      <w:pPr>
        <w:adjustRightInd w:val="0"/>
        <w:spacing w:beforeLines="120" w:before="288" w:after="0" w:line="360" w:lineRule="auto"/>
        <w:jc w:val="both"/>
        <w:rPr>
          <w:lang w:val="nl-BE" w:eastAsia="nl-NL"/>
        </w:rPr>
      </w:pPr>
      <w:r w:rsidRPr="00FB05CB">
        <w:rPr>
          <w:lang w:val="nl-BE" w:eastAsia="nl-NL"/>
        </w:rPr>
        <w:t xml:space="preserve">Werle G, </w:t>
      </w:r>
      <w:r w:rsidRPr="00FB05CB">
        <w:rPr>
          <w:i/>
          <w:iCs/>
          <w:lang w:val="nl-BE" w:eastAsia="nl-NL"/>
        </w:rPr>
        <w:t>Principles of International Criminal Law</w:t>
      </w:r>
      <w:r w:rsidRPr="00FB05CB">
        <w:rPr>
          <w:lang w:val="nl-BE" w:eastAsia="nl-NL"/>
        </w:rPr>
        <w:t xml:space="preserve"> (TMC Asser Press 2005)</w:t>
      </w:r>
      <w:r w:rsidR="00754489" w:rsidRPr="00FB05CB">
        <w:rPr>
          <w:lang w:val="nl-BE" w:eastAsia="nl-NL"/>
        </w:rPr>
        <w:tab/>
      </w:r>
    </w:p>
    <w:p w14:paraId="5C8AEB32" w14:textId="386A2753" w:rsidR="00DE7629" w:rsidRPr="00FB05CB" w:rsidRDefault="00460A30" w:rsidP="00CA0672">
      <w:pPr>
        <w:adjustRightInd w:val="0"/>
        <w:spacing w:beforeLines="120" w:before="288" w:after="0" w:line="360" w:lineRule="auto"/>
        <w:jc w:val="both"/>
        <w:rPr>
          <w:lang w:val="nl-BE" w:eastAsia="nl-NL"/>
        </w:rPr>
      </w:pPr>
      <w:r w:rsidRPr="00FB05CB">
        <w:rPr>
          <w:lang w:val="nl-BE" w:eastAsia="nl-NL"/>
        </w:rPr>
        <w:lastRenderedPageBreak/>
        <w:t xml:space="preserve">Zierler D, </w:t>
      </w:r>
      <w:r w:rsidRPr="00FB05CB">
        <w:rPr>
          <w:i/>
          <w:iCs/>
          <w:lang w:val="nl-BE" w:eastAsia="nl-NL"/>
        </w:rPr>
        <w:t xml:space="preserve">The Invention of Ecocide: Agent Orange, Vietnam, and the Scientists Who Changed </w:t>
      </w:r>
      <w:r w:rsidR="00754489" w:rsidRPr="00FB05CB">
        <w:rPr>
          <w:i/>
          <w:iCs/>
          <w:lang w:val="nl-BE" w:eastAsia="nl-NL"/>
        </w:rPr>
        <w:tab/>
      </w:r>
      <w:r w:rsidRPr="00FB05CB">
        <w:rPr>
          <w:i/>
          <w:iCs/>
          <w:lang w:val="nl-BE" w:eastAsia="nl-NL"/>
        </w:rPr>
        <w:t>the Way We Think About the Environment</w:t>
      </w:r>
      <w:r w:rsidRPr="00FB05CB">
        <w:rPr>
          <w:lang w:val="nl-BE" w:eastAsia="nl-NL"/>
        </w:rPr>
        <w:t xml:space="preserve"> (University of Georgia Press 2011)</w:t>
      </w:r>
      <w:r w:rsidR="00CA0672">
        <w:rPr>
          <w:lang w:val="nl-BE" w:eastAsia="nl-NL"/>
        </w:rPr>
        <w:tab/>
      </w:r>
      <w:r w:rsidR="00CA0672">
        <w:rPr>
          <w:lang w:val="nl-BE" w:eastAsia="nl-NL"/>
        </w:rPr>
        <w:br/>
      </w:r>
    </w:p>
    <w:p w14:paraId="586DC131" w14:textId="77777777" w:rsidR="00DE7629" w:rsidRPr="00FB05CB" w:rsidRDefault="00DE7629" w:rsidP="00FB05CB">
      <w:pPr>
        <w:pStyle w:val="Kop3"/>
        <w:spacing w:beforeLines="120" w:before="288" w:line="240" w:lineRule="auto"/>
        <w:jc w:val="both"/>
        <w:rPr>
          <w:rFonts w:cs="Times New Roman"/>
        </w:rPr>
      </w:pPr>
      <w:bookmarkStart w:id="57" w:name="_bookmark27"/>
      <w:bookmarkStart w:id="58" w:name="_Toc230376229"/>
      <w:bookmarkEnd w:id="57"/>
      <w:r w:rsidRPr="00FB05CB">
        <w:rPr>
          <w:rFonts w:cs="Times New Roman"/>
        </w:rPr>
        <w:t>Contributions to anthologies</w:t>
      </w:r>
      <w:bookmarkEnd w:id="58"/>
    </w:p>
    <w:p w14:paraId="5B890909" w14:textId="77777777" w:rsidR="00E07A4C" w:rsidRPr="00FB05CB" w:rsidRDefault="00E07A4C" w:rsidP="00FB05CB">
      <w:pPr>
        <w:pStyle w:val="Plattetekst"/>
        <w:spacing w:beforeLines="120" w:before="288"/>
        <w:jc w:val="both"/>
        <w:rPr>
          <w:lang w:val="nl-BE"/>
        </w:rPr>
      </w:pPr>
    </w:p>
    <w:p w14:paraId="4A20583F" w14:textId="77777777" w:rsidR="00CA0672" w:rsidRDefault="00754489" w:rsidP="00CA0672">
      <w:pPr>
        <w:pStyle w:val="Plattetekst"/>
        <w:spacing w:beforeLines="120" w:before="288" w:line="360" w:lineRule="auto"/>
        <w:jc w:val="both"/>
        <w:rPr>
          <w:lang w:val="nl-BE"/>
        </w:rPr>
      </w:pPr>
      <w:r w:rsidRPr="00FB05CB">
        <w:rPr>
          <w:lang w:val="nl-BE"/>
        </w:rPr>
        <w:t>Drumbl MA, ‘Waging War Against the World: The Need to Move from War Crimes to</w:t>
      </w:r>
      <w:r w:rsidRPr="00FB05CB">
        <w:rPr>
          <w:lang w:val="nl-BE"/>
        </w:rPr>
        <w:t xml:space="preserve"> </w:t>
      </w:r>
      <w:r w:rsidRPr="00FB05CB">
        <w:rPr>
          <w:lang w:val="nl-BE"/>
        </w:rPr>
        <w:tab/>
      </w:r>
      <w:r w:rsidRPr="00FB05CB">
        <w:rPr>
          <w:lang w:val="nl-BE"/>
        </w:rPr>
        <w:t xml:space="preserve">Environmental Crimes’ in Dinstein Y and Tabory M (eds), </w:t>
      </w:r>
      <w:r w:rsidRPr="00FB05CB">
        <w:rPr>
          <w:i/>
          <w:iCs/>
          <w:lang w:val="nl-BE"/>
        </w:rPr>
        <w:t xml:space="preserve">International Law at a Time </w:t>
      </w:r>
      <w:r w:rsidRPr="00FB05CB">
        <w:rPr>
          <w:i/>
          <w:iCs/>
          <w:lang w:val="nl-BE"/>
        </w:rPr>
        <w:tab/>
      </w:r>
      <w:r w:rsidRPr="00FB05CB">
        <w:rPr>
          <w:i/>
          <w:iCs/>
          <w:lang w:val="nl-BE"/>
        </w:rPr>
        <w:t>of Perplexity</w:t>
      </w:r>
      <w:r w:rsidRPr="00FB05CB">
        <w:rPr>
          <w:lang w:val="nl-BE"/>
        </w:rPr>
        <w:t xml:space="preserve"> (Martinus Nijhoff 1989)</w:t>
      </w:r>
      <w:r w:rsidRPr="00FB05CB">
        <w:rPr>
          <w:lang w:val="nl-BE"/>
        </w:rPr>
        <w:tab/>
      </w:r>
    </w:p>
    <w:p w14:paraId="64528FA4" w14:textId="77777777" w:rsidR="00CA0672" w:rsidRDefault="00754489" w:rsidP="00CA0672">
      <w:pPr>
        <w:pStyle w:val="Plattetekst"/>
        <w:spacing w:beforeLines="120" w:before="288" w:line="360" w:lineRule="auto"/>
        <w:jc w:val="both"/>
        <w:rPr>
          <w:lang w:val="nl-BE"/>
        </w:rPr>
      </w:pPr>
      <w:r w:rsidRPr="00FB05CB">
        <w:rPr>
          <w:lang w:val="nl-BE"/>
        </w:rPr>
        <w:t xml:space="preserve">Fitzmaurice M, ‘The Practical Working of the Law of Treaties’ in Evans MD (ed), </w:t>
      </w:r>
      <w:r w:rsidRPr="00FB05CB">
        <w:rPr>
          <w:i/>
          <w:iCs/>
          <w:lang w:val="nl-BE"/>
        </w:rPr>
        <w:t>International</w:t>
      </w:r>
      <w:r w:rsidRPr="00FB05CB">
        <w:rPr>
          <w:i/>
          <w:iCs/>
          <w:lang w:val="nl-BE"/>
        </w:rPr>
        <w:tab/>
      </w:r>
      <w:r w:rsidRPr="00FB05CB">
        <w:rPr>
          <w:i/>
          <w:iCs/>
          <w:lang w:val="nl-BE"/>
        </w:rPr>
        <w:t xml:space="preserve"> Law</w:t>
      </w:r>
      <w:r w:rsidRPr="00FB05CB">
        <w:rPr>
          <w:lang w:val="nl-BE"/>
        </w:rPr>
        <w:t xml:space="preserve"> (5th edn, Oxford University Press 2018)</w:t>
      </w:r>
      <w:r w:rsidRPr="00FB05CB">
        <w:rPr>
          <w:lang w:val="nl-BE"/>
        </w:rPr>
        <w:tab/>
      </w:r>
    </w:p>
    <w:p w14:paraId="74EADEA7" w14:textId="77777777" w:rsidR="00CA0672" w:rsidRDefault="00754489" w:rsidP="00CA0672">
      <w:pPr>
        <w:pStyle w:val="Plattetekst"/>
        <w:spacing w:beforeLines="120" w:before="288" w:line="360" w:lineRule="auto"/>
        <w:jc w:val="both"/>
        <w:rPr>
          <w:lang w:val="nl-BE"/>
        </w:rPr>
      </w:pPr>
      <w:r w:rsidRPr="00FB05CB">
        <w:rPr>
          <w:lang w:val="nl-BE"/>
        </w:rPr>
        <w:t xml:space="preserve">Kaul H-P, ‘The International Criminal Court and the Crime of Genocide’ in Gaeta P (ed), </w:t>
      </w:r>
      <w:r w:rsidRPr="00FB05CB">
        <w:rPr>
          <w:i/>
          <w:iCs/>
          <w:lang w:val="nl-BE"/>
        </w:rPr>
        <w:t xml:space="preserve">The </w:t>
      </w:r>
      <w:r w:rsidRPr="00FB05CB">
        <w:rPr>
          <w:i/>
          <w:iCs/>
          <w:lang w:val="nl-BE"/>
        </w:rPr>
        <w:tab/>
      </w:r>
      <w:r w:rsidRPr="00FB05CB">
        <w:rPr>
          <w:i/>
          <w:iCs/>
          <w:lang w:val="nl-BE"/>
        </w:rPr>
        <w:t>UN Genocide Convention: A Commentary</w:t>
      </w:r>
      <w:r w:rsidRPr="00FB05CB">
        <w:rPr>
          <w:lang w:val="nl-BE"/>
        </w:rPr>
        <w:t xml:space="preserve"> (Oxford University Press 2009)</w:t>
      </w:r>
      <w:r w:rsidRPr="00FB05CB">
        <w:rPr>
          <w:lang w:val="nl-BE"/>
        </w:rPr>
        <w:tab/>
      </w:r>
    </w:p>
    <w:p w14:paraId="110466E0" w14:textId="77777777" w:rsidR="00CA0672" w:rsidRDefault="00754489" w:rsidP="00CA0672">
      <w:pPr>
        <w:pStyle w:val="Plattetekst"/>
        <w:spacing w:beforeLines="120" w:before="288" w:line="360" w:lineRule="auto"/>
        <w:jc w:val="both"/>
        <w:rPr>
          <w:lang w:val="nl-BE"/>
        </w:rPr>
      </w:pPr>
      <w:r w:rsidRPr="00FB05CB">
        <w:rPr>
          <w:lang w:val="nl-BE"/>
        </w:rPr>
        <w:t xml:space="preserve">Roberts A and Sivakumaran S, ‘The Theory and Reality of the Sources of International Law’ in </w:t>
      </w:r>
      <w:r w:rsidRPr="00FB05CB">
        <w:rPr>
          <w:lang w:val="nl-BE"/>
        </w:rPr>
        <w:tab/>
      </w:r>
      <w:r w:rsidRPr="00FB05CB">
        <w:rPr>
          <w:lang w:val="nl-BE"/>
        </w:rPr>
        <w:t xml:space="preserve">Evans MD (ed), </w:t>
      </w:r>
      <w:r w:rsidRPr="00FB05CB">
        <w:rPr>
          <w:i/>
          <w:iCs/>
          <w:lang w:val="nl-BE"/>
        </w:rPr>
        <w:t>International Law</w:t>
      </w:r>
      <w:r w:rsidRPr="00FB05CB">
        <w:rPr>
          <w:lang w:val="nl-BE"/>
        </w:rPr>
        <w:t xml:space="preserve"> (Oxford University Press 2018)</w:t>
      </w:r>
      <w:r w:rsidRPr="00FB05CB">
        <w:rPr>
          <w:lang w:val="nl-BE"/>
        </w:rPr>
        <w:tab/>
      </w:r>
    </w:p>
    <w:p w14:paraId="16770B45" w14:textId="6F8D0BA3" w:rsidR="00754489" w:rsidRPr="00FB05CB" w:rsidRDefault="00754489" w:rsidP="00CA0672">
      <w:pPr>
        <w:pStyle w:val="Plattetekst"/>
        <w:spacing w:beforeLines="120" w:before="288" w:line="360" w:lineRule="auto"/>
        <w:jc w:val="both"/>
        <w:rPr>
          <w:lang w:val="nl-BE"/>
        </w:rPr>
      </w:pPr>
      <w:r w:rsidRPr="00FB05CB">
        <w:rPr>
          <w:lang w:val="nl-BE"/>
        </w:rPr>
        <w:t xml:space="preserve">Shany Y, ‘The Road to the Genocide Convention and Beyond’ in Gaeta P (ed), </w:t>
      </w:r>
      <w:r w:rsidRPr="00FB05CB">
        <w:rPr>
          <w:i/>
          <w:iCs/>
          <w:lang w:val="nl-BE"/>
        </w:rPr>
        <w:t xml:space="preserve">The UN Genocide </w:t>
      </w:r>
      <w:r w:rsidRPr="00FB05CB">
        <w:rPr>
          <w:i/>
          <w:iCs/>
          <w:lang w:val="nl-BE"/>
        </w:rPr>
        <w:tab/>
      </w:r>
      <w:r w:rsidRPr="00FB05CB">
        <w:rPr>
          <w:i/>
          <w:iCs/>
          <w:lang w:val="nl-BE"/>
        </w:rPr>
        <w:t>Convention</w:t>
      </w:r>
      <w:r w:rsidRPr="00FB05CB">
        <w:rPr>
          <w:lang w:val="nl-BE"/>
        </w:rPr>
        <w:t xml:space="preserve"> (Oxford University Press 2009)</w:t>
      </w:r>
    </w:p>
    <w:p w14:paraId="6754A834" w14:textId="77777777" w:rsidR="00DE7629" w:rsidRPr="00FB05CB" w:rsidRDefault="00DE7629" w:rsidP="00FB05CB">
      <w:pPr>
        <w:pStyle w:val="Plattetekst"/>
        <w:spacing w:beforeLines="120" w:before="288"/>
        <w:jc w:val="both"/>
        <w:rPr>
          <w:lang w:val="nl-BE"/>
        </w:rPr>
      </w:pPr>
    </w:p>
    <w:p w14:paraId="35C5CC5A" w14:textId="77777777" w:rsidR="00DE7629" w:rsidRPr="00FB05CB" w:rsidRDefault="00DE7629" w:rsidP="00FB05CB">
      <w:pPr>
        <w:pStyle w:val="Kop3"/>
        <w:spacing w:beforeLines="120" w:before="288" w:line="240" w:lineRule="auto"/>
        <w:jc w:val="both"/>
        <w:rPr>
          <w:rFonts w:cs="Times New Roman"/>
        </w:rPr>
      </w:pPr>
      <w:bookmarkStart w:id="59" w:name="_bookmark28"/>
      <w:bookmarkStart w:id="60" w:name="_Toc230376230"/>
      <w:bookmarkEnd w:id="59"/>
      <w:r w:rsidRPr="00FB05CB">
        <w:rPr>
          <w:rFonts w:cs="Times New Roman"/>
        </w:rPr>
        <w:t>Articles</w:t>
      </w:r>
      <w:bookmarkEnd w:id="60"/>
    </w:p>
    <w:p w14:paraId="7F64BF5B" w14:textId="77777777" w:rsidR="004D3A13" w:rsidRPr="00FB05CB" w:rsidRDefault="004D3A13" w:rsidP="00FB05CB">
      <w:pPr>
        <w:pStyle w:val="Plattetekst"/>
        <w:spacing w:beforeLines="120" w:before="288"/>
        <w:jc w:val="both"/>
        <w:rPr>
          <w:lang w:val="nl-BE"/>
        </w:rPr>
      </w:pPr>
    </w:p>
    <w:p w14:paraId="7A5F2C93" w14:textId="77777777" w:rsidR="00CA0672" w:rsidRDefault="00754489" w:rsidP="00CA0672">
      <w:pPr>
        <w:pStyle w:val="Plattetekst"/>
        <w:spacing w:beforeLines="120" w:before="288" w:line="360" w:lineRule="auto"/>
        <w:jc w:val="both"/>
        <w:rPr>
          <w:lang w:val="nl-BE"/>
        </w:rPr>
      </w:pPr>
      <w:r w:rsidRPr="00FB05CB">
        <w:rPr>
          <w:lang w:val="nl-BE"/>
        </w:rPr>
        <w:t>Al-Zubi A, ‘The Extent of Adopting a Hierarchical Interpretive Structure by the ILC in Arts 31-</w:t>
      </w:r>
      <w:r w:rsidRPr="00FB05CB">
        <w:rPr>
          <w:lang w:val="nl-BE"/>
        </w:rPr>
        <w:tab/>
      </w:r>
      <w:r w:rsidRPr="00FB05CB">
        <w:rPr>
          <w:lang w:val="nl-BE"/>
        </w:rPr>
        <w:t xml:space="preserve">2 of the VCLT to Remove the Legal Uncertainty from Treaty Interpretation’ (2017) 59 </w:t>
      </w:r>
      <w:r w:rsidRPr="00FB05CB">
        <w:rPr>
          <w:lang w:val="nl-BE"/>
        </w:rPr>
        <w:tab/>
      </w:r>
      <w:r w:rsidRPr="00FB05CB">
        <w:rPr>
          <w:lang w:val="nl-BE"/>
        </w:rPr>
        <w:t>Journal of Law, Policy and Globalization 191</w:t>
      </w:r>
      <w:r w:rsidRPr="00FB05CB">
        <w:rPr>
          <w:lang w:val="nl-BE"/>
        </w:rPr>
        <w:tab/>
      </w:r>
    </w:p>
    <w:p w14:paraId="3956462C" w14:textId="77777777" w:rsidR="00CA0672" w:rsidRDefault="00754489" w:rsidP="00CA0672">
      <w:pPr>
        <w:pStyle w:val="Plattetekst"/>
        <w:spacing w:beforeLines="120" w:before="288" w:line="360" w:lineRule="auto"/>
        <w:jc w:val="both"/>
        <w:rPr>
          <w:lang w:val="nl-BE"/>
        </w:rPr>
      </w:pPr>
      <w:r w:rsidRPr="00FB05CB">
        <w:rPr>
          <w:lang w:val="nl-BE"/>
        </w:rPr>
        <w:t xml:space="preserve">Bagheri S and Kemp G, ‘Damage to and Destruction of the Natural Environment: Terraforming </w:t>
      </w:r>
      <w:r w:rsidRPr="00FB05CB">
        <w:rPr>
          <w:lang w:val="nl-BE"/>
        </w:rPr>
        <w:tab/>
      </w:r>
      <w:r w:rsidRPr="00FB05CB">
        <w:rPr>
          <w:lang w:val="nl-BE"/>
        </w:rPr>
        <w:t xml:space="preserve">Warfare in Gaza and Accountability for Ecocentric Crimes’ (2024) Journal of </w:t>
      </w:r>
      <w:r w:rsidRPr="00FB05CB">
        <w:rPr>
          <w:lang w:val="nl-BE"/>
        </w:rPr>
        <w:tab/>
      </w:r>
      <w:r w:rsidRPr="00FB05CB">
        <w:rPr>
          <w:lang w:val="nl-BE"/>
        </w:rPr>
        <w:t>International Criminal Justice</w:t>
      </w:r>
    </w:p>
    <w:p w14:paraId="2453978B" w14:textId="77777777" w:rsidR="00CA0672" w:rsidRDefault="00754489" w:rsidP="00CA0672">
      <w:pPr>
        <w:pStyle w:val="Plattetekst"/>
        <w:spacing w:beforeLines="120" w:before="288" w:line="360" w:lineRule="auto"/>
        <w:jc w:val="both"/>
        <w:rPr>
          <w:lang w:val="nl-BE"/>
        </w:rPr>
      </w:pPr>
      <w:r w:rsidRPr="00FB05CB">
        <w:rPr>
          <w:lang w:val="nl-BE"/>
        </w:rPr>
        <w:lastRenderedPageBreak/>
        <w:t xml:space="preserve">Bothe M, Bruch C, Diamond J and Jensen D, ‘International Law Protecting the Environment </w:t>
      </w:r>
      <w:r w:rsidRPr="00FB05CB">
        <w:rPr>
          <w:lang w:val="nl-BE"/>
        </w:rPr>
        <w:tab/>
      </w:r>
      <w:r w:rsidRPr="00FB05CB">
        <w:rPr>
          <w:lang w:val="nl-BE"/>
        </w:rPr>
        <w:t>during Armed Conflict: Gaps and Opportunities’ (2010) 92 International Review of the</w:t>
      </w:r>
      <w:r w:rsidRPr="00FB05CB">
        <w:rPr>
          <w:lang w:val="nl-BE"/>
        </w:rPr>
        <w:tab/>
      </w:r>
      <w:r w:rsidRPr="00FB05CB">
        <w:rPr>
          <w:lang w:val="nl-BE"/>
        </w:rPr>
        <w:tab/>
      </w:r>
      <w:r w:rsidRPr="00FB05CB">
        <w:rPr>
          <w:lang w:val="nl-BE"/>
        </w:rPr>
        <w:t>Red Cross 569</w:t>
      </w:r>
      <w:r w:rsidRPr="00FB05CB">
        <w:rPr>
          <w:lang w:val="nl-BE"/>
        </w:rPr>
        <w:tab/>
      </w:r>
    </w:p>
    <w:p w14:paraId="1D196556" w14:textId="77777777" w:rsidR="00CA0672" w:rsidRDefault="00754489" w:rsidP="00CA0672">
      <w:pPr>
        <w:pStyle w:val="Plattetekst"/>
        <w:spacing w:beforeLines="120" w:before="288" w:line="360" w:lineRule="auto"/>
        <w:jc w:val="both"/>
        <w:rPr>
          <w:lang w:val="nl-BE"/>
        </w:rPr>
      </w:pPr>
      <w:r w:rsidRPr="00FB05CB">
        <w:rPr>
          <w:lang w:val="nl-BE"/>
        </w:rPr>
        <w:t xml:space="preserve">Chakhmakhchyan S and Meyroyan E, ‘Slow-Burn Destruction: Reading “Conditions of Life” </w:t>
      </w:r>
      <w:r w:rsidRPr="00FB05CB">
        <w:rPr>
          <w:lang w:val="nl-BE"/>
        </w:rPr>
        <w:tab/>
      </w:r>
      <w:r w:rsidRPr="00FB05CB">
        <w:rPr>
          <w:lang w:val="nl-BE"/>
        </w:rPr>
        <w:t xml:space="preserve">into Twenty-First Century Genocide’ (2025) 10 International Journal of Armenian </w:t>
      </w:r>
      <w:r w:rsidRPr="00FB05CB">
        <w:rPr>
          <w:lang w:val="nl-BE"/>
        </w:rPr>
        <w:tab/>
      </w:r>
      <w:r w:rsidRPr="00FB05CB">
        <w:rPr>
          <w:lang w:val="nl-BE"/>
        </w:rPr>
        <w:t>Genocide Studies 102</w:t>
      </w:r>
      <w:r w:rsidRPr="00FB05CB">
        <w:rPr>
          <w:lang w:val="nl-BE"/>
        </w:rPr>
        <w:tab/>
      </w:r>
    </w:p>
    <w:p w14:paraId="66EDFF5F" w14:textId="55F11758" w:rsidR="00754489" w:rsidRPr="00FB05CB" w:rsidRDefault="00754489" w:rsidP="00CA0672">
      <w:pPr>
        <w:pStyle w:val="Plattetekst"/>
        <w:spacing w:beforeLines="120" w:before="288" w:line="360" w:lineRule="auto"/>
        <w:jc w:val="both"/>
        <w:rPr>
          <w:lang w:val="nl-BE"/>
        </w:rPr>
      </w:pPr>
      <w:r w:rsidRPr="00FB05CB">
        <w:rPr>
          <w:lang w:val="nl-BE"/>
        </w:rPr>
        <w:t xml:space="preserve">Croitor V, ‘The Interpretation of Treaties According to the Vienna Convention on the Law of </w:t>
      </w:r>
      <w:r w:rsidRPr="00FB05CB">
        <w:rPr>
          <w:lang w:val="nl-BE"/>
        </w:rPr>
        <w:tab/>
      </w:r>
      <w:r w:rsidRPr="00FB05CB">
        <w:rPr>
          <w:lang w:val="nl-BE"/>
        </w:rPr>
        <w:t>Treaties’ (2015) 3 Moldoscopie 54</w:t>
      </w:r>
      <w:r w:rsidRPr="00FB05CB">
        <w:rPr>
          <w:lang w:val="nl-BE"/>
        </w:rPr>
        <w:tab/>
      </w:r>
    </w:p>
    <w:p w14:paraId="536ACF01" w14:textId="04C8BDD1" w:rsidR="00754489" w:rsidRPr="00FB05CB" w:rsidRDefault="00754489" w:rsidP="00CA0672">
      <w:pPr>
        <w:pStyle w:val="Plattetekst"/>
        <w:spacing w:beforeLines="120" w:before="288" w:line="360" w:lineRule="auto"/>
        <w:jc w:val="both"/>
        <w:rPr>
          <w:lang w:val="nl-BE"/>
        </w:rPr>
      </w:pPr>
      <w:r w:rsidRPr="00FB05CB">
        <w:rPr>
          <w:lang w:val="nl-BE"/>
        </w:rPr>
        <w:t xml:space="preserve">Eichler LJ, ‘Ecocide Is Genocide: Decolonizing the Definition of Genocide’ (2020) 14 Genocide </w:t>
      </w:r>
      <w:r w:rsidRPr="00FB05CB">
        <w:rPr>
          <w:lang w:val="nl-BE"/>
        </w:rPr>
        <w:tab/>
      </w:r>
      <w:r w:rsidRPr="00FB05CB">
        <w:rPr>
          <w:lang w:val="nl-BE"/>
        </w:rPr>
        <w:t>Studies and Prevention 104</w:t>
      </w:r>
      <w:r w:rsidRPr="00FB05CB">
        <w:rPr>
          <w:lang w:val="nl-BE"/>
        </w:rPr>
        <w:tab/>
      </w:r>
    </w:p>
    <w:p w14:paraId="43943DFE" w14:textId="2426B8F8" w:rsidR="00754489" w:rsidRPr="00FB05CB" w:rsidRDefault="00754489" w:rsidP="00CA0672">
      <w:pPr>
        <w:pStyle w:val="Plattetekst"/>
        <w:spacing w:beforeLines="120" w:before="288" w:line="360" w:lineRule="auto"/>
        <w:jc w:val="both"/>
        <w:rPr>
          <w:lang w:val="nl-BE"/>
        </w:rPr>
      </w:pPr>
      <w:r w:rsidRPr="00FB05CB">
        <w:rPr>
          <w:lang w:val="nl-BE"/>
        </w:rPr>
        <w:t xml:space="preserve">Fitzmaurice G, ‘The Law and Procedure of the International Court of Justice, 1951–54: General </w:t>
      </w:r>
      <w:r w:rsidRPr="00FB05CB">
        <w:rPr>
          <w:lang w:val="nl-BE"/>
        </w:rPr>
        <w:tab/>
      </w:r>
      <w:r w:rsidRPr="00FB05CB">
        <w:rPr>
          <w:lang w:val="nl-BE"/>
        </w:rPr>
        <w:t>Principles and Sources of Law’ (1953) 30 BYIL 1</w:t>
      </w:r>
      <w:r w:rsidRPr="00FB05CB">
        <w:rPr>
          <w:lang w:val="nl-BE"/>
        </w:rPr>
        <w:tab/>
      </w:r>
    </w:p>
    <w:p w14:paraId="291B10F1" w14:textId="7C92C4DA" w:rsidR="00754489" w:rsidRPr="00FB05CB" w:rsidRDefault="00754489" w:rsidP="00CA0672">
      <w:pPr>
        <w:pStyle w:val="Plattetekst"/>
        <w:spacing w:beforeLines="120" w:before="288" w:line="360" w:lineRule="auto"/>
        <w:jc w:val="both"/>
        <w:rPr>
          <w:lang w:val="nl-BE"/>
        </w:rPr>
      </w:pPr>
      <w:r w:rsidRPr="00FB05CB">
        <w:rPr>
          <w:lang w:val="nl-BE"/>
        </w:rPr>
        <w:t xml:space="preserve">Higgins P, Short D and South N, ‘Protecting the Planet: A Proposal for a Law of Ecocide’ (2013) </w:t>
      </w:r>
      <w:r w:rsidRPr="00FB05CB">
        <w:rPr>
          <w:lang w:val="nl-BE"/>
        </w:rPr>
        <w:tab/>
      </w:r>
      <w:r w:rsidRPr="00FB05CB">
        <w:rPr>
          <w:lang w:val="nl-BE"/>
        </w:rPr>
        <w:t>59 Crime, Law and Social Change 251</w:t>
      </w:r>
      <w:r w:rsidRPr="00FB05CB">
        <w:rPr>
          <w:lang w:val="nl-BE"/>
        </w:rPr>
        <w:tab/>
      </w:r>
    </w:p>
    <w:p w14:paraId="0E65B4F6" w14:textId="2596D955" w:rsidR="00754489" w:rsidRPr="00FB05CB" w:rsidRDefault="00754489" w:rsidP="00CA0672">
      <w:pPr>
        <w:pStyle w:val="Plattetekst"/>
        <w:spacing w:beforeLines="120" w:before="288" w:line="360" w:lineRule="auto"/>
        <w:jc w:val="both"/>
        <w:rPr>
          <w:lang w:val="nl-BE"/>
        </w:rPr>
      </w:pPr>
      <w:r w:rsidRPr="00FB05CB">
        <w:rPr>
          <w:lang w:val="nl-BE"/>
        </w:rPr>
        <w:t xml:space="preserve">Jacobs FG, ‘Varieties of Approach to Treaty Interpretation: With Special Reference to the Draft </w:t>
      </w:r>
      <w:r w:rsidRPr="00FB05CB">
        <w:rPr>
          <w:lang w:val="nl-BE"/>
        </w:rPr>
        <w:tab/>
      </w:r>
      <w:r w:rsidRPr="00FB05CB">
        <w:rPr>
          <w:lang w:val="nl-BE"/>
        </w:rPr>
        <w:t>Convention on the Law of Treaties before the Vienna Diplomatic Conference’ (1969) 18</w:t>
      </w:r>
      <w:r w:rsidRPr="00FB05CB">
        <w:rPr>
          <w:lang w:val="nl-BE"/>
        </w:rPr>
        <w:tab/>
      </w:r>
      <w:r w:rsidRPr="00FB05CB">
        <w:rPr>
          <w:lang w:val="nl-BE"/>
        </w:rPr>
        <w:t xml:space="preserve"> International and Comparative Law Quarterly 318</w:t>
      </w:r>
      <w:r w:rsidRPr="00FB05CB">
        <w:rPr>
          <w:lang w:val="nl-BE"/>
        </w:rPr>
        <w:tab/>
      </w:r>
    </w:p>
    <w:p w14:paraId="6EDBF8D0" w14:textId="271C4834" w:rsidR="00754489" w:rsidRPr="00FB05CB" w:rsidRDefault="00754489" w:rsidP="00CA0672">
      <w:pPr>
        <w:pStyle w:val="Plattetekst"/>
        <w:spacing w:beforeLines="120" w:before="288" w:line="360" w:lineRule="auto"/>
        <w:jc w:val="both"/>
        <w:rPr>
          <w:lang w:val="nl-BE"/>
        </w:rPr>
      </w:pPr>
      <w:r w:rsidRPr="00FB05CB">
        <w:rPr>
          <w:lang w:val="nl-BE"/>
        </w:rPr>
        <w:t xml:space="preserve">Knox JH, ‘Linking Human Rights and Climate Change at the United Nations’ (2009) 33 Harvard </w:t>
      </w:r>
      <w:r w:rsidRPr="00FB05CB">
        <w:rPr>
          <w:lang w:val="nl-BE"/>
        </w:rPr>
        <w:tab/>
      </w:r>
      <w:r w:rsidRPr="00FB05CB">
        <w:rPr>
          <w:lang w:val="nl-BE"/>
        </w:rPr>
        <w:t>Environmental Law Review 477</w:t>
      </w:r>
      <w:r w:rsidRPr="00FB05CB">
        <w:rPr>
          <w:lang w:val="nl-BE"/>
        </w:rPr>
        <w:tab/>
      </w:r>
    </w:p>
    <w:p w14:paraId="07E52D4A" w14:textId="030AC0D2" w:rsidR="00754489" w:rsidRPr="00FB05CB" w:rsidRDefault="00754489" w:rsidP="00CA0672">
      <w:pPr>
        <w:pStyle w:val="Plattetekst"/>
        <w:spacing w:beforeLines="120" w:before="288" w:line="360" w:lineRule="auto"/>
        <w:jc w:val="both"/>
        <w:rPr>
          <w:lang w:val="nl-BE"/>
        </w:rPr>
      </w:pPr>
      <w:r w:rsidRPr="00FB05CB">
        <w:rPr>
          <w:lang w:val="nl-BE"/>
        </w:rPr>
        <w:t xml:space="preserve">Kreß C, ‘The Crime of Genocide under International Law’ (2006) 6 International Criminal Law </w:t>
      </w:r>
      <w:r w:rsidRPr="00FB05CB">
        <w:rPr>
          <w:lang w:val="nl-BE"/>
        </w:rPr>
        <w:tab/>
      </w:r>
      <w:r w:rsidRPr="00FB05CB">
        <w:rPr>
          <w:lang w:val="nl-BE"/>
        </w:rPr>
        <w:t>Review 461</w:t>
      </w:r>
      <w:r w:rsidRPr="00FB05CB">
        <w:rPr>
          <w:lang w:val="nl-BE"/>
        </w:rPr>
        <w:tab/>
      </w:r>
    </w:p>
    <w:p w14:paraId="7E072EBF" w14:textId="4E93E82B" w:rsidR="00754489" w:rsidRPr="00FB05CB" w:rsidRDefault="00754489" w:rsidP="00CA0672">
      <w:pPr>
        <w:pStyle w:val="Plattetekst"/>
        <w:spacing w:beforeLines="120" w:before="288" w:line="360" w:lineRule="auto"/>
        <w:jc w:val="both"/>
        <w:rPr>
          <w:lang w:val="nl-BE"/>
        </w:rPr>
      </w:pPr>
      <w:r w:rsidRPr="00FB05CB">
        <w:rPr>
          <w:lang w:val="nl-BE"/>
        </w:rPr>
        <w:t xml:space="preserve">Luban D, ‘A Theory of Crimes Against Humanity’ (2010) 29 Yale Journal of International Law </w:t>
      </w:r>
      <w:r w:rsidRPr="00FB05CB">
        <w:rPr>
          <w:lang w:val="nl-BE"/>
        </w:rPr>
        <w:tab/>
      </w:r>
      <w:r w:rsidRPr="00FB05CB">
        <w:rPr>
          <w:lang w:val="nl-BE"/>
        </w:rPr>
        <w:t>85</w:t>
      </w:r>
    </w:p>
    <w:p w14:paraId="74993E6F" w14:textId="1B3E9616" w:rsidR="00754489" w:rsidRPr="00FB05CB" w:rsidRDefault="00754489" w:rsidP="00CA0672">
      <w:pPr>
        <w:pStyle w:val="Plattetekst"/>
        <w:spacing w:beforeLines="120" w:before="288" w:line="360" w:lineRule="auto"/>
        <w:jc w:val="both"/>
        <w:rPr>
          <w:lang w:val="nl-BE"/>
        </w:rPr>
      </w:pPr>
      <w:r w:rsidRPr="00FB05CB">
        <w:rPr>
          <w:lang w:val="nl-BE"/>
        </w:rPr>
        <w:t xml:space="preserve">Pocar F, ‘To What Extent Is Protocol I Customary International Law?’ (2002) 78 International </w:t>
      </w:r>
      <w:r w:rsidRPr="00FB05CB">
        <w:rPr>
          <w:lang w:val="nl-BE"/>
        </w:rPr>
        <w:tab/>
      </w:r>
      <w:r w:rsidRPr="00FB05CB">
        <w:rPr>
          <w:lang w:val="nl-BE"/>
        </w:rPr>
        <w:t>Law Studies 337</w:t>
      </w:r>
      <w:r w:rsidRPr="00FB05CB">
        <w:rPr>
          <w:lang w:val="nl-BE"/>
        </w:rPr>
        <w:tab/>
      </w:r>
    </w:p>
    <w:p w14:paraId="35FD1B7D" w14:textId="754DB007" w:rsidR="00754489" w:rsidRPr="00FB05CB" w:rsidRDefault="00754489" w:rsidP="00CA0672">
      <w:pPr>
        <w:pStyle w:val="Plattetekst"/>
        <w:spacing w:beforeLines="120" w:before="288" w:line="360" w:lineRule="auto"/>
        <w:jc w:val="both"/>
        <w:rPr>
          <w:lang w:val="nl-BE"/>
        </w:rPr>
      </w:pPr>
      <w:r w:rsidRPr="00FB05CB">
        <w:rPr>
          <w:lang w:val="nl-BE"/>
        </w:rPr>
        <w:lastRenderedPageBreak/>
        <w:t>Radhakrishnan A, ‘An Inherent Right to Health: Reviving Article II(c) of the Genocide</w:t>
      </w:r>
      <w:r w:rsidRPr="00FB05CB">
        <w:rPr>
          <w:lang w:val="nl-BE"/>
        </w:rPr>
        <w:t xml:space="preserve"> </w:t>
      </w:r>
      <w:r w:rsidRPr="00FB05CB">
        <w:rPr>
          <w:lang w:val="nl-BE"/>
        </w:rPr>
        <w:tab/>
      </w:r>
      <w:r w:rsidRPr="00FB05CB">
        <w:rPr>
          <w:lang w:val="nl-BE"/>
        </w:rPr>
        <w:t>Convention’ (2020) Columbia Human Rights Law Review</w:t>
      </w:r>
      <w:r w:rsidRPr="00FB05CB">
        <w:rPr>
          <w:lang w:val="nl-BE"/>
        </w:rPr>
        <w:tab/>
      </w:r>
    </w:p>
    <w:p w14:paraId="4A146B4B" w14:textId="4B109A04" w:rsidR="00754489" w:rsidRPr="00FB05CB" w:rsidRDefault="00754489" w:rsidP="00CA0672">
      <w:pPr>
        <w:pStyle w:val="Plattetekst"/>
        <w:spacing w:beforeLines="120" w:before="288" w:line="360" w:lineRule="auto"/>
        <w:jc w:val="both"/>
        <w:rPr>
          <w:lang w:val="nl-BE"/>
        </w:rPr>
      </w:pPr>
      <w:r w:rsidRPr="00FB05CB">
        <w:rPr>
          <w:lang w:val="nl-BE"/>
        </w:rPr>
        <w:t xml:space="preserve">Sadat LN and Carden R, ‘The New International Criminal Court: An Uneasy Revolution’ (1999) </w:t>
      </w:r>
      <w:r w:rsidRPr="00FB05CB">
        <w:rPr>
          <w:lang w:val="nl-BE"/>
        </w:rPr>
        <w:tab/>
      </w:r>
      <w:r w:rsidRPr="00FB05CB">
        <w:rPr>
          <w:lang w:val="nl-BE"/>
        </w:rPr>
        <w:t>88 Georgetown Law Journal 381</w:t>
      </w:r>
      <w:r w:rsidRPr="00FB05CB">
        <w:rPr>
          <w:lang w:val="nl-BE"/>
        </w:rPr>
        <w:tab/>
      </w:r>
    </w:p>
    <w:p w14:paraId="0C64F0C5" w14:textId="56F164FE" w:rsidR="00754489" w:rsidRPr="00FB05CB" w:rsidRDefault="00754489" w:rsidP="00CA0672">
      <w:pPr>
        <w:pStyle w:val="Plattetekst"/>
        <w:spacing w:beforeLines="120" w:before="288" w:line="360" w:lineRule="auto"/>
        <w:jc w:val="both"/>
        <w:rPr>
          <w:lang w:val="nl-BE"/>
        </w:rPr>
      </w:pPr>
      <w:r w:rsidRPr="00FB05CB">
        <w:rPr>
          <w:lang w:val="nl-BE"/>
        </w:rPr>
        <w:t xml:space="preserve">Schmitt MN, ‘Green War: An Assessment of the Environmental Law of International Armed </w:t>
      </w:r>
      <w:r w:rsidRPr="00FB05CB">
        <w:rPr>
          <w:lang w:val="nl-BE"/>
        </w:rPr>
        <w:tab/>
      </w:r>
      <w:r w:rsidRPr="00FB05CB">
        <w:rPr>
          <w:lang w:val="nl-BE"/>
        </w:rPr>
        <w:t>Conflict’ (1997) 22 Yale Journal of International Law 1</w:t>
      </w:r>
      <w:r w:rsidRPr="00FB05CB">
        <w:rPr>
          <w:lang w:val="nl-BE"/>
        </w:rPr>
        <w:tab/>
      </w:r>
    </w:p>
    <w:p w14:paraId="177564D9" w14:textId="05BC4070" w:rsidR="00754489" w:rsidRPr="00FB05CB" w:rsidRDefault="00754489" w:rsidP="00CA0672">
      <w:pPr>
        <w:pStyle w:val="Plattetekst"/>
        <w:spacing w:beforeLines="120" w:before="288" w:line="360" w:lineRule="auto"/>
        <w:jc w:val="both"/>
        <w:rPr>
          <w:lang w:val="nl-BE"/>
        </w:rPr>
      </w:pPr>
      <w:r w:rsidRPr="00FB05CB">
        <w:rPr>
          <w:lang w:val="nl-BE"/>
        </w:rPr>
        <w:t xml:space="preserve">Short D, ‘Re-theorising the Genocide–Ecocide Nexus: Raphael Lemkin and Ecocide in the </w:t>
      </w:r>
      <w:r w:rsidRPr="00FB05CB">
        <w:rPr>
          <w:lang w:val="nl-BE"/>
        </w:rPr>
        <w:tab/>
      </w:r>
      <w:r w:rsidRPr="00FB05CB">
        <w:rPr>
          <w:lang w:val="nl-BE"/>
        </w:rPr>
        <w:t>Amazon’ (2016) 20 The International Journal of Human Rights 1005</w:t>
      </w:r>
      <w:r w:rsidRPr="00FB05CB">
        <w:rPr>
          <w:lang w:val="nl-BE"/>
        </w:rPr>
        <w:tab/>
      </w:r>
    </w:p>
    <w:p w14:paraId="0DAAA3EA" w14:textId="2200CC33" w:rsidR="00754489" w:rsidRPr="00FB05CB" w:rsidRDefault="00754489" w:rsidP="00CA0672">
      <w:pPr>
        <w:pStyle w:val="Plattetekst"/>
        <w:spacing w:beforeLines="120" w:before="288" w:line="360" w:lineRule="auto"/>
        <w:jc w:val="both"/>
        <w:rPr>
          <w:lang w:val="nl-BE"/>
        </w:rPr>
      </w:pPr>
      <w:r w:rsidRPr="00FB05CB">
        <w:rPr>
          <w:lang w:val="nl-BE"/>
        </w:rPr>
        <w:t xml:space="preserve">Tournaye C, ‘Genocidal Intent before the ICTY’ (2003) 52 International and Comparative Law </w:t>
      </w:r>
      <w:r w:rsidRPr="00FB05CB">
        <w:rPr>
          <w:lang w:val="nl-BE"/>
        </w:rPr>
        <w:tab/>
      </w:r>
      <w:r w:rsidRPr="00FB05CB">
        <w:rPr>
          <w:lang w:val="nl-BE"/>
        </w:rPr>
        <w:t>Quarterly 447</w:t>
      </w:r>
      <w:r w:rsidRPr="00FB05CB">
        <w:rPr>
          <w:lang w:val="nl-BE"/>
        </w:rPr>
        <w:tab/>
      </w:r>
    </w:p>
    <w:p w14:paraId="665EFBA2" w14:textId="2F5702B8" w:rsidR="00754489" w:rsidRPr="00FB05CB" w:rsidRDefault="00754489" w:rsidP="00CA0672">
      <w:pPr>
        <w:pStyle w:val="Plattetekst"/>
        <w:spacing w:beforeLines="120" w:before="288" w:line="360" w:lineRule="auto"/>
        <w:jc w:val="both"/>
        <w:rPr>
          <w:lang w:val="nl-BE"/>
        </w:rPr>
      </w:pPr>
      <w:r w:rsidRPr="00FB05CB">
        <w:rPr>
          <w:lang w:val="nl-BE"/>
        </w:rPr>
        <w:t xml:space="preserve">Zarbiyev F, ‘“A Perverse Version of the Nobel Prize”: The Symbolic Power of the Label of </w:t>
      </w:r>
      <w:r w:rsidRPr="00FB05CB">
        <w:rPr>
          <w:lang w:val="nl-BE"/>
        </w:rPr>
        <w:tab/>
      </w:r>
      <w:r w:rsidRPr="00FB05CB">
        <w:rPr>
          <w:lang w:val="nl-BE"/>
        </w:rPr>
        <w:t>“Genocide”’ (2025) Global Challenges</w:t>
      </w:r>
    </w:p>
    <w:p w14:paraId="233C6B48" w14:textId="77777777" w:rsidR="00DE7629" w:rsidRPr="00FB05CB" w:rsidRDefault="00DE7629" w:rsidP="00FB05CB">
      <w:pPr>
        <w:pStyle w:val="Plattetekst"/>
        <w:spacing w:beforeLines="120" w:before="288"/>
        <w:jc w:val="both"/>
        <w:rPr>
          <w:lang w:val="nl-BE"/>
        </w:rPr>
      </w:pPr>
    </w:p>
    <w:p w14:paraId="0B6DD039" w14:textId="256AC402" w:rsidR="00DE7629" w:rsidRPr="007D7049" w:rsidRDefault="00DE7629" w:rsidP="007D7049">
      <w:pPr>
        <w:pStyle w:val="Kop3"/>
        <w:spacing w:beforeLines="120" w:before="288" w:line="240" w:lineRule="auto"/>
        <w:jc w:val="both"/>
        <w:rPr>
          <w:rFonts w:cs="Times New Roman"/>
        </w:rPr>
      </w:pPr>
      <w:bookmarkStart w:id="61" w:name="_bookmark29"/>
      <w:bookmarkStart w:id="62" w:name="_Toc230376231"/>
      <w:bookmarkEnd w:id="61"/>
      <w:r w:rsidRPr="00FB05CB">
        <w:rPr>
          <w:rFonts w:cs="Times New Roman"/>
        </w:rPr>
        <w:t>News Articles</w:t>
      </w:r>
      <w:bookmarkEnd w:id="62"/>
      <w:r w:rsidR="007D7049">
        <w:rPr>
          <w:rFonts w:cs="Times New Roman"/>
        </w:rPr>
        <w:tab/>
      </w:r>
      <w:r w:rsidR="007D7049">
        <w:rPr>
          <w:rFonts w:cs="Times New Roman"/>
        </w:rPr>
        <w:br/>
      </w:r>
    </w:p>
    <w:p w14:paraId="76D0B7C9" w14:textId="13A68D42" w:rsidR="00ED0934" w:rsidRPr="00FB05CB" w:rsidRDefault="00ED0934" w:rsidP="00CA0672">
      <w:pPr>
        <w:pStyle w:val="Plattetekst"/>
        <w:spacing w:beforeLines="120" w:before="288" w:line="360" w:lineRule="auto"/>
        <w:jc w:val="both"/>
        <w:rPr>
          <w:lang w:val="nl-BE"/>
        </w:rPr>
      </w:pPr>
      <w:r w:rsidRPr="00FB05CB">
        <w:rPr>
          <w:lang w:val="nl-BE"/>
        </w:rPr>
        <w:t xml:space="preserve">Abdulrahim R and Abu Elouf S, ‘Thirst and Hunger Grow in Besieged Gaza Amid Israeli </w:t>
      </w:r>
      <w:r w:rsidRPr="00FB05CB">
        <w:rPr>
          <w:lang w:val="nl-BE"/>
        </w:rPr>
        <w:tab/>
      </w:r>
      <w:r w:rsidRPr="00FB05CB">
        <w:rPr>
          <w:lang w:val="nl-BE"/>
        </w:rPr>
        <w:t xml:space="preserve">Bombardment’ </w:t>
      </w:r>
      <w:r w:rsidRPr="00FB05CB">
        <w:rPr>
          <w:i/>
          <w:iCs/>
          <w:lang w:val="nl-BE"/>
        </w:rPr>
        <w:t>The New York Times</w:t>
      </w:r>
      <w:r w:rsidRPr="00FB05CB">
        <w:rPr>
          <w:lang w:val="nl-BE"/>
        </w:rPr>
        <w:t xml:space="preserve"> (27 October 2023) </w:t>
      </w:r>
      <w:r w:rsidRPr="00FB05CB">
        <w:rPr>
          <w:lang w:val="nl-BE"/>
        </w:rPr>
        <w:tab/>
      </w:r>
      <w:r w:rsidRPr="00FB05CB">
        <w:rPr>
          <w:lang w:val="nl-BE"/>
        </w:rPr>
        <w:t>https://www.nytimes.com/2023/10/25/world/middleeast/gaza-food-water-siege</w:t>
      </w:r>
      <w:r w:rsidRPr="00FB05CB">
        <w:rPr>
          <w:lang w:val="nl-BE"/>
        </w:rPr>
        <w:t>.</w:t>
      </w:r>
      <w:r w:rsidRPr="00FB05CB">
        <w:rPr>
          <w:lang w:val="nl-BE"/>
        </w:rPr>
        <w:t xml:space="preserve">html </w:t>
      </w:r>
    </w:p>
    <w:p w14:paraId="402798F3" w14:textId="7785D073" w:rsidR="00ED0934" w:rsidRPr="00FB05CB" w:rsidRDefault="00ED0934" w:rsidP="00CA0672">
      <w:pPr>
        <w:pStyle w:val="Plattetekst"/>
        <w:spacing w:beforeLines="120" w:before="288" w:line="360" w:lineRule="auto"/>
        <w:jc w:val="both"/>
        <w:rPr>
          <w:lang w:val="nl-BE"/>
        </w:rPr>
      </w:pPr>
      <w:r w:rsidRPr="00FB05CB">
        <w:rPr>
          <w:lang w:val="nl-BE"/>
        </w:rPr>
        <w:t>Millar L, ‘Has the ICC just Advanced Accountability for Wartime Environmental Damage?’</w:t>
      </w:r>
      <w:r w:rsidRPr="00FB05CB">
        <w:rPr>
          <w:lang w:val="nl-BE"/>
        </w:rPr>
        <w:tab/>
      </w:r>
      <w:r w:rsidRPr="00FB05CB">
        <w:rPr>
          <w:lang w:val="nl-BE"/>
        </w:rPr>
        <w:tab/>
      </w:r>
      <w:r w:rsidRPr="00FB05CB">
        <w:rPr>
          <w:lang w:val="nl-BE"/>
        </w:rPr>
        <w:t xml:space="preserve"> </w:t>
      </w:r>
      <w:r w:rsidRPr="00FB05CB">
        <w:rPr>
          <w:i/>
          <w:iCs/>
          <w:lang w:val="nl-BE"/>
        </w:rPr>
        <w:t>CEOBS</w:t>
      </w:r>
      <w:r w:rsidRPr="00FB05CB">
        <w:rPr>
          <w:lang w:val="nl-BE"/>
        </w:rPr>
        <w:t xml:space="preserve"> (8 December 2025) https://ceobs.org/has-the-icc-just-advanced-accountability-</w:t>
      </w:r>
      <w:r w:rsidRPr="00FB05CB">
        <w:rPr>
          <w:lang w:val="nl-BE"/>
        </w:rPr>
        <w:tab/>
      </w:r>
      <w:r w:rsidRPr="00FB05CB">
        <w:rPr>
          <w:lang w:val="nl-BE"/>
        </w:rPr>
        <w:t xml:space="preserve">for-wartime-environmental-damage/ </w:t>
      </w:r>
    </w:p>
    <w:p w14:paraId="4A237094" w14:textId="03603AE8" w:rsidR="00ED0934" w:rsidRPr="00FB05CB" w:rsidRDefault="00ED0934" w:rsidP="00CA0672">
      <w:pPr>
        <w:pStyle w:val="Plattetekst"/>
        <w:spacing w:beforeLines="120" w:before="288" w:line="360" w:lineRule="auto"/>
        <w:jc w:val="both"/>
        <w:rPr>
          <w:lang w:val="nl-BE"/>
        </w:rPr>
      </w:pPr>
      <w:r w:rsidRPr="00FB05CB">
        <w:rPr>
          <w:lang w:val="nl-BE"/>
        </w:rPr>
        <w:t xml:space="preserve">Turns A, ‘The Toxic Legacy of the Ukraine War’ </w:t>
      </w:r>
      <w:r w:rsidRPr="00FB05CB">
        <w:rPr>
          <w:i/>
          <w:iCs/>
          <w:lang w:val="nl-BE"/>
        </w:rPr>
        <w:t>BBC News</w:t>
      </w:r>
      <w:r w:rsidRPr="00FB05CB">
        <w:rPr>
          <w:lang w:val="nl-BE"/>
        </w:rPr>
        <w:t xml:space="preserve"> (21 February 2023) </w:t>
      </w:r>
      <w:r w:rsidRPr="00FB05CB">
        <w:rPr>
          <w:lang w:val="nl-BE"/>
        </w:rPr>
        <w:tab/>
      </w:r>
      <w:r w:rsidRPr="00FB05CB">
        <w:rPr>
          <w:lang w:val="nl-BE"/>
        </w:rPr>
        <w:t xml:space="preserve">https://www.bbc.com/future/article/20230221-the-toxic-legacy-of-the-ukraine-war </w:t>
      </w:r>
      <w:r w:rsidRPr="00FB05CB">
        <w:rPr>
          <w:lang w:val="nl-BE"/>
        </w:rPr>
        <w:br/>
      </w:r>
    </w:p>
    <w:p w14:paraId="3D3C610B" w14:textId="0BEE351B" w:rsidR="00ED0934" w:rsidRPr="00FB05CB" w:rsidRDefault="00ED0934" w:rsidP="007D7049">
      <w:pPr>
        <w:pStyle w:val="Kop3"/>
        <w:rPr>
          <w:lang w:val="nl-BE"/>
        </w:rPr>
      </w:pPr>
      <w:bookmarkStart w:id="63" w:name="_Toc230376232"/>
      <w:r w:rsidRPr="00FB05CB">
        <w:rPr>
          <w:lang w:val="nl-BE"/>
        </w:rPr>
        <w:lastRenderedPageBreak/>
        <w:t>Reports and Institutional Documents</w:t>
      </w:r>
      <w:bookmarkEnd w:id="63"/>
      <w:r w:rsidR="00CA0672">
        <w:rPr>
          <w:lang w:val="nl-BE"/>
        </w:rPr>
        <w:tab/>
      </w:r>
      <w:r w:rsidR="007D7049">
        <w:rPr>
          <w:lang w:val="nl-BE"/>
        </w:rPr>
        <w:br/>
      </w:r>
    </w:p>
    <w:p w14:paraId="5063B99D" w14:textId="639AC3D0" w:rsidR="00ED0934" w:rsidRPr="00FB05CB" w:rsidRDefault="00ED0934" w:rsidP="00CA0672">
      <w:pPr>
        <w:pStyle w:val="Plattetekst"/>
        <w:spacing w:beforeLines="120" w:before="288" w:line="360" w:lineRule="auto"/>
        <w:jc w:val="both"/>
        <w:rPr>
          <w:lang w:val="nl-BE"/>
        </w:rPr>
      </w:pPr>
      <w:r w:rsidRPr="00FB05CB">
        <w:rPr>
          <w:lang w:val="nl-BE"/>
        </w:rPr>
        <w:t xml:space="preserve">Amnesty International, </w:t>
      </w:r>
      <w:r w:rsidRPr="00FB05CB">
        <w:rPr>
          <w:i/>
          <w:iCs/>
          <w:lang w:val="nl-BE"/>
        </w:rPr>
        <w:t>‘You Feel Like You Are Subhuman’: Israel’s Genocide Against</w:t>
      </w:r>
      <w:r w:rsidRPr="00FB05CB">
        <w:rPr>
          <w:i/>
          <w:iCs/>
          <w:lang w:val="nl-BE"/>
        </w:rPr>
        <w:t xml:space="preserve"> </w:t>
      </w:r>
      <w:r w:rsidRPr="00FB05CB">
        <w:rPr>
          <w:i/>
          <w:iCs/>
          <w:lang w:val="nl-BE"/>
        </w:rPr>
        <w:tab/>
      </w:r>
      <w:r w:rsidRPr="00FB05CB">
        <w:rPr>
          <w:i/>
          <w:iCs/>
          <w:lang w:val="nl-BE"/>
        </w:rPr>
        <w:t>Palestinians in Gaza</w:t>
      </w:r>
      <w:r w:rsidRPr="00FB05CB">
        <w:rPr>
          <w:lang w:val="nl-BE"/>
        </w:rPr>
        <w:t xml:space="preserve"> (Amnesty International 2024)</w:t>
      </w:r>
      <w:r w:rsidRPr="00FB05CB">
        <w:rPr>
          <w:lang w:val="nl-BE"/>
        </w:rPr>
        <w:tab/>
      </w:r>
    </w:p>
    <w:p w14:paraId="1CD4A071" w14:textId="4356DBF4" w:rsidR="00ED0934" w:rsidRPr="00FB05CB" w:rsidRDefault="00ED0934" w:rsidP="00CA0672">
      <w:pPr>
        <w:pStyle w:val="Plattetekst"/>
        <w:spacing w:beforeLines="120" w:before="288" w:line="360" w:lineRule="auto"/>
        <w:jc w:val="both"/>
        <w:rPr>
          <w:lang w:val="nl-BE"/>
        </w:rPr>
      </w:pPr>
      <w:r w:rsidRPr="00FB05CB">
        <w:rPr>
          <w:lang w:val="nl-BE"/>
        </w:rPr>
        <w:t xml:space="preserve">Independent Expert Panel for the Legal Definition of Ecocide, </w:t>
      </w:r>
      <w:r w:rsidRPr="00FB05CB">
        <w:rPr>
          <w:i/>
          <w:iCs/>
          <w:lang w:val="nl-BE"/>
        </w:rPr>
        <w:t>Commentary and Core Text</w:t>
      </w:r>
      <w:r w:rsidRPr="00FB05CB">
        <w:rPr>
          <w:lang w:val="nl-BE"/>
        </w:rPr>
        <w:t xml:space="preserve"> (Stop </w:t>
      </w:r>
      <w:r w:rsidRPr="00FB05CB">
        <w:rPr>
          <w:lang w:val="nl-BE"/>
        </w:rPr>
        <w:tab/>
      </w:r>
      <w:r w:rsidRPr="00FB05CB">
        <w:rPr>
          <w:lang w:val="nl-BE"/>
        </w:rPr>
        <w:t>Ecocide Foundation 2021)</w:t>
      </w:r>
      <w:r w:rsidRPr="00FB05CB">
        <w:rPr>
          <w:lang w:val="nl-BE"/>
        </w:rPr>
        <w:tab/>
      </w:r>
    </w:p>
    <w:p w14:paraId="241BD1D0" w14:textId="32D0BEF5" w:rsidR="00ED0934" w:rsidRPr="00FB05CB" w:rsidRDefault="00ED0934" w:rsidP="00CA0672">
      <w:pPr>
        <w:pStyle w:val="Plattetekst"/>
        <w:spacing w:beforeLines="120" w:before="288" w:line="360" w:lineRule="auto"/>
        <w:jc w:val="both"/>
        <w:rPr>
          <w:lang w:val="nl-BE"/>
        </w:rPr>
      </w:pPr>
      <w:r w:rsidRPr="00FB05CB">
        <w:rPr>
          <w:lang w:val="nl-BE"/>
        </w:rPr>
        <w:t>ICRC</w:t>
      </w:r>
      <w:r w:rsidRPr="00FB05CB">
        <w:rPr>
          <w:lang w:val="nl-BE"/>
        </w:rPr>
        <w:t xml:space="preserve">, </w:t>
      </w:r>
      <w:r w:rsidRPr="00FB05CB">
        <w:rPr>
          <w:i/>
          <w:iCs/>
          <w:lang w:val="nl-BE"/>
        </w:rPr>
        <w:t xml:space="preserve">Commentary on the Additional Protocols of 8 June </w:t>
      </w:r>
      <w:r w:rsidRPr="00FB05CB">
        <w:rPr>
          <w:i/>
          <w:iCs/>
          <w:lang w:val="nl-BE"/>
        </w:rPr>
        <w:tab/>
      </w:r>
      <w:r w:rsidRPr="00FB05CB">
        <w:rPr>
          <w:i/>
          <w:iCs/>
          <w:lang w:val="nl-BE"/>
        </w:rPr>
        <w:t xml:space="preserve">1977 to the Geneva Conventions of </w:t>
      </w:r>
      <w:r w:rsidRPr="00FB05CB">
        <w:rPr>
          <w:i/>
          <w:iCs/>
          <w:lang w:val="nl-BE"/>
        </w:rPr>
        <w:tab/>
      </w:r>
      <w:r w:rsidRPr="00FB05CB">
        <w:rPr>
          <w:i/>
          <w:iCs/>
          <w:lang w:val="nl-BE"/>
        </w:rPr>
        <w:t>12 August 1949</w:t>
      </w:r>
      <w:r w:rsidRPr="00FB05CB">
        <w:rPr>
          <w:lang w:val="nl-BE"/>
        </w:rPr>
        <w:t xml:space="preserve"> (ICRC 1987)</w:t>
      </w:r>
      <w:r w:rsidRPr="00FB05CB">
        <w:rPr>
          <w:lang w:val="nl-BE"/>
        </w:rPr>
        <w:tab/>
      </w:r>
    </w:p>
    <w:p w14:paraId="5A4CEC55" w14:textId="7640EDDD" w:rsidR="00ED0934" w:rsidRPr="00FB05CB" w:rsidRDefault="00ED0934" w:rsidP="00CA0672">
      <w:pPr>
        <w:pStyle w:val="Plattetekst"/>
        <w:spacing w:beforeLines="120" w:before="288" w:line="360" w:lineRule="auto"/>
        <w:jc w:val="both"/>
        <w:rPr>
          <w:lang w:val="nl-BE"/>
        </w:rPr>
      </w:pPr>
      <w:r w:rsidRPr="00FB05CB">
        <w:rPr>
          <w:lang w:val="nl-BE"/>
        </w:rPr>
        <w:t>ICRC</w:t>
      </w:r>
      <w:r w:rsidRPr="00FB05CB">
        <w:rPr>
          <w:lang w:val="nl-BE"/>
        </w:rPr>
        <w:t xml:space="preserve">, </w:t>
      </w:r>
      <w:r w:rsidRPr="00FB05CB">
        <w:rPr>
          <w:i/>
          <w:iCs/>
          <w:lang w:val="nl-BE"/>
        </w:rPr>
        <w:t>Guidelines on the Protection of the Natural Environment in Armed Conflict</w:t>
      </w:r>
      <w:r w:rsidRPr="00FB05CB">
        <w:rPr>
          <w:lang w:val="nl-BE"/>
        </w:rPr>
        <w:t xml:space="preserve"> (ICRC 2020)</w:t>
      </w:r>
    </w:p>
    <w:p w14:paraId="54135590" w14:textId="33F22967" w:rsidR="00ED0934" w:rsidRPr="00FB05CB" w:rsidRDefault="00ED0934" w:rsidP="00CA0672">
      <w:pPr>
        <w:pStyle w:val="Plattetekst"/>
        <w:spacing w:beforeLines="120" w:before="288" w:line="360" w:lineRule="auto"/>
        <w:jc w:val="both"/>
        <w:rPr>
          <w:lang w:val="nl-BE"/>
        </w:rPr>
      </w:pPr>
      <w:r w:rsidRPr="00FB05CB">
        <w:rPr>
          <w:lang w:val="nl-BE"/>
        </w:rPr>
        <w:t xml:space="preserve">UNEP, </w:t>
      </w:r>
      <w:r w:rsidRPr="00FB05CB">
        <w:rPr>
          <w:i/>
          <w:iCs/>
          <w:lang w:val="nl-BE"/>
        </w:rPr>
        <w:t xml:space="preserve">Environmental Impact of the Escalation of Conflict in the Gaza Strip: Second Assessment </w:t>
      </w:r>
      <w:r w:rsidRPr="00FB05CB">
        <w:rPr>
          <w:i/>
          <w:iCs/>
          <w:lang w:val="nl-BE"/>
        </w:rPr>
        <w:tab/>
      </w:r>
      <w:r w:rsidRPr="00FB05CB">
        <w:rPr>
          <w:i/>
          <w:iCs/>
          <w:lang w:val="nl-BE"/>
        </w:rPr>
        <w:t xml:space="preserve">of Environmental Damage and Recommendations for Recovery and Reconstruction </w:t>
      </w:r>
      <w:r w:rsidRPr="00FB05CB">
        <w:rPr>
          <w:i/>
          <w:iCs/>
          <w:lang w:val="nl-BE"/>
        </w:rPr>
        <w:tab/>
      </w:r>
      <w:r w:rsidRPr="00FB05CB">
        <w:rPr>
          <w:i/>
          <w:iCs/>
          <w:lang w:val="nl-BE"/>
        </w:rPr>
        <w:t>Planning</w:t>
      </w:r>
      <w:r w:rsidRPr="00FB05CB">
        <w:rPr>
          <w:lang w:val="nl-BE"/>
        </w:rPr>
        <w:t xml:space="preserve"> (2025)</w:t>
      </w:r>
      <w:r w:rsidRPr="00FB05CB">
        <w:rPr>
          <w:lang w:val="nl-BE"/>
        </w:rPr>
        <w:tab/>
      </w:r>
    </w:p>
    <w:p w14:paraId="04C6699B" w14:textId="6C2B2078" w:rsidR="00ED0934" w:rsidRPr="00FB05CB" w:rsidRDefault="00ED0934" w:rsidP="00CA0672">
      <w:pPr>
        <w:pStyle w:val="Plattetekst"/>
        <w:spacing w:beforeLines="120" w:before="288" w:line="360" w:lineRule="auto"/>
        <w:jc w:val="both"/>
        <w:rPr>
          <w:lang w:val="nl-BE"/>
        </w:rPr>
      </w:pPr>
      <w:r w:rsidRPr="00FB05CB">
        <w:rPr>
          <w:lang w:val="nl-BE"/>
        </w:rPr>
        <w:t>UNEP</w:t>
      </w:r>
      <w:r w:rsidRPr="00FB05CB">
        <w:rPr>
          <w:lang w:val="nl-BE"/>
        </w:rPr>
        <w:t xml:space="preserve">, </w:t>
      </w:r>
      <w:r w:rsidRPr="00FB05CB">
        <w:rPr>
          <w:i/>
          <w:iCs/>
          <w:lang w:val="nl-BE"/>
        </w:rPr>
        <w:t xml:space="preserve">Protecting the Environment During Armed Conflict: An Inventory and Analysis of </w:t>
      </w:r>
      <w:r w:rsidRPr="00FB05CB">
        <w:rPr>
          <w:i/>
          <w:iCs/>
          <w:lang w:val="nl-BE"/>
        </w:rPr>
        <w:tab/>
      </w:r>
      <w:r w:rsidRPr="00FB05CB">
        <w:rPr>
          <w:i/>
          <w:iCs/>
          <w:lang w:val="nl-BE"/>
        </w:rPr>
        <w:t>International Law</w:t>
      </w:r>
      <w:r w:rsidRPr="00FB05CB">
        <w:rPr>
          <w:lang w:val="nl-BE"/>
        </w:rPr>
        <w:t xml:space="preserve"> (UNEP 2009)</w:t>
      </w:r>
      <w:r w:rsidRPr="00FB05CB">
        <w:rPr>
          <w:lang w:val="nl-BE"/>
        </w:rPr>
        <w:tab/>
      </w:r>
    </w:p>
    <w:p w14:paraId="4ACE0F30" w14:textId="4D898372" w:rsidR="00ED0934" w:rsidRPr="00FB05CB" w:rsidRDefault="00ED0934" w:rsidP="00CA0672">
      <w:pPr>
        <w:pStyle w:val="Plattetekst"/>
        <w:spacing w:beforeLines="120" w:before="288" w:line="360" w:lineRule="auto"/>
        <w:jc w:val="both"/>
        <w:rPr>
          <w:lang w:val="nl-BE"/>
        </w:rPr>
      </w:pPr>
      <w:r w:rsidRPr="00FB05CB">
        <w:rPr>
          <w:lang w:val="nl-BE"/>
        </w:rPr>
        <w:t>UNEP</w:t>
      </w:r>
      <w:r w:rsidRPr="00FB05CB">
        <w:rPr>
          <w:lang w:val="nl-BE"/>
        </w:rPr>
        <w:t xml:space="preserve">, </w:t>
      </w:r>
      <w:r w:rsidRPr="00FB05CB">
        <w:rPr>
          <w:i/>
          <w:iCs/>
          <w:lang w:val="nl-BE"/>
        </w:rPr>
        <w:t>Rapid Environmental Assessment of Kakhovka Dam Breach, Ukraine 2023</w:t>
      </w:r>
      <w:r w:rsidRPr="00FB05CB">
        <w:rPr>
          <w:lang w:val="nl-BE"/>
        </w:rPr>
        <w:t xml:space="preserve"> (UNEP 2023)</w:t>
      </w:r>
    </w:p>
    <w:p w14:paraId="5E2980E6" w14:textId="2F847CD0" w:rsidR="00ED0934" w:rsidRPr="00FB05CB" w:rsidRDefault="00ED0934" w:rsidP="00CA0672">
      <w:pPr>
        <w:pStyle w:val="Plattetekst"/>
        <w:spacing w:beforeLines="120" w:before="288" w:line="360" w:lineRule="auto"/>
        <w:jc w:val="both"/>
        <w:rPr>
          <w:lang w:val="nl-BE"/>
        </w:rPr>
      </w:pPr>
      <w:r w:rsidRPr="00FB05CB">
        <w:rPr>
          <w:lang w:val="nl-BE"/>
        </w:rPr>
        <w:t>UNOCHA, ‘Humanitarian Situation Update #179 | Gaza Strip’ (14 June 2024)</w:t>
      </w:r>
      <w:r w:rsidRPr="00FB05CB">
        <w:rPr>
          <w:lang w:val="nl-BE"/>
        </w:rPr>
        <w:tab/>
      </w:r>
    </w:p>
    <w:p w14:paraId="4E9C359F" w14:textId="56106611" w:rsidR="00DE7629" w:rsidRPr="00D723FF" w:rsidRDefault="00ED0934" w:rsidP="00CA0672">
      <w:pPr>
        <w:pStyle w:val="Plattetekst"/>
        <w:spacing w:beforeLines="120" w:before="288" w:line="360" w:lineRule="auto"/>
        <w:jc w:val="both"/>
        <w:rPr>
          <w:lang w:val="nl-BE"/>
        </w:rPr>
        <w:sectPr w:rsidR="00DE7629" w:rsidRPr="00D723FF" w:rsidSect="009B5D04">
          <w:footerReference w:type="even" r:id="rId9"/>
          <w:footerReference w:type="default" r:id="rId10"/>
          <w:pgSz w:w="11910" w:h="16840"/>
          <w:pgMar w:top="1880" w:right="1275" w:bottom="1120" w:left="1417" w:header="1087" w:footer="931" w:gutter="0"/>
          <w:cols w:space="708"/>
        </w:sectPr>
      </w:pPr>
      <w:r w:rsidRPr="00FB05CB">
        <w:rPr>
          <w:lang w:val="nl-BE"/>
        </w:rPr>
        <w:t>W</w:t>
      </w:r>
      <w:r w:rsidRPr="00FB05CB">
        <w:rPr>
          <w:lang w:val="nl-BE"/>
        </w:rPr>
        <w:t>HO</w:t>
      </w:r>
      <w:r w:rsidRPr="00FB05CB">
        <w:rPr>
          <w:lang w:val="nl-BE"/>
        </w:rPr>
        <w:t>, ‘Conflict</w:t>
      </w:r>
      <w:r w:rsidR="00D723FF" w:rsidRPr="00FB05CB">
        <w:rPr>
          <w:lang w:val="nl-BE"/>
        </w:rPr>
        <w:t xml:space="preserve"> </w:t>
      </w:r>
      <w:r w:rsidRPr="00FB05CB">
        <w:rPr>
          <w:lang w:val="nl-BE"/>
        </w:rPr>
        <w:t xml:space="preserve">in Israel and the occupied Palestinian territory’ (World </w:t>
      </w:r>
      <w:r w:rsidRPr="00FB05CB">
        <w:rPr>
          <w:lang w:val="nl-BE"/>
        </w:rPr>
        <w:tab/>
      </w:r>
      <w:r w:rsidRPr="00FB05CB">
        <w:rPr>
          <w:lang w:val="nl-BE"/>
        </w:rPr>
        <w:t>Health Organizatio</w:t>
      </w:r>
      <w:bookmarkStart w:id="64" w:name="_bookmark30"/>
      <w:bookmarkEnd w:id="64"/>
      <w:r w:rsidR="00D723FF" w:rsidRPr="00FB05CB">
        <w:rPr>
          <w:lang w:val="nl-BE"/>
        </w:rPr>
        <w:t>n</w:t>
      </w:r>
      <w:r w:rsidR="00AA0EF4">
        <w:rPr>
          <w:lang w:val="nl-BE"/>
        </w:rPr>
        <w:t>)</w:t>
      </w:r>
    </w:p>
    <w:p w14:paraId="10B499A4" w14:textId="7FD53C2F" w:rsidR="004F2FB3" w:rsidRPr="00D723FF" w:rsidRDefault="004F2FB3" w:rsidP="00D723FF">
      <w:pPr>
        <w:spacing w:line="360" w:lineRule="auto"/>
        <w:rPr>
          <w:lang w:val="nl-BE" w:eastAsia="en-US"/>
        </w:rPr>
      </w:pPr>
    </w:p>
    <w:sectPr w:rsidR="004F2FB3" w:rsidRPr="00D723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3E97" w14:textId="77777777" w:rsidR="001558B9" w:rsidRDefault="001558B9" w:rsidP="00866178">
      <w:pPr>
        <w:spacing w:after="0" w:line="240" w:lineRule="auto"/>
      </w:pPr>
      <w:r>
        <w:separator/>
      </w:r>
    </w:p>
  </w:endnote>
  <w:endnote w:type="continuationSeparator" w:id="0">
    <w:p w14:paraId="386032A4" w14:textId="77777777" w:rsidR="001558B9" w:rsidRDefault="001558B9" w:rsidP="00866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996286788"/>
      <w:docPartObj>
        <w:docPartGallery w:val="Page Numbers (Bottom of Page)"/>
        <w:docPartUnique/>
      </w:docPartObj>
    </w:sdtPr>
    <w:sdtContent>
      <w:p w14:paraId="15D3AC8B" w14:textId="3AB7AB60" w:rsidR="006F2C64" w:rsidRDefault="006F2C64" w:rsidP="002711C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D0934">
          <w:rPr>
            <w:rStyle w:val="Paginanummer"/>
            <w:noProof/>
          </w:rPr>
          <w:t>62</w:t>
        </w:r>
        <w:r>
          <w:rPr>
            <w:rStyle w:val="Paginanummer"/>
          </w:rPr>
          <w:fldChar w:fldCharType="end"/>
        </w:r>
      </w:p>
    </w:sdtContent>
  </w:sdt>
  <w:p w14:paraId="201EB7CF" w14:textId="77777777" w:rsidR="006F2C64" w:rsidRDefault="006F2C64" w:rsidP="006F2C6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88923007"/>
      <w:docPartObj>
        <w:docPartGallery w:val="Page Numbers (Bottom of Page)"/>
        <w:docPartUnique/>
      </w:docPartObj>
    </w:sdtPr>
    <w:sdtContent>
      <w:p w14:paraId="6BA96735" w14:textId="41AAC779" w:rsidR="006F2C64" w:rsidRDefault="006F2C64" w:rsidP="002711C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noProof/>
          </w:rPr>
          <w:t>0</w:t>
        </w:r>
        <w:r>
          <w:rPr>
            <w:rStyle w:val="Paginanummer"/>
          </w:rPr>
          <w:fldChar w:fldCharType="end"/>
        </w:r>
      </w:p>
    </w:sdtContent>
  </w:sdt>
  <w:p w14:paraId="6571A6F1" w14:textId="77777777" w:rsidR="006F2C64" w:rsidRDefault="006F2C64" w:rsidP="006F2C6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3D14" w14:textId="77777777" w:rsidR="001558B9" w:rsidRDefault="001558B9" w:rsidP="00866178">
      <w:pPr>
        <w:spacing w:after="0" w:line="240" w:lineRule="auto"/>
      </w:pPr>
      <w:r>
        <w:separator/>
      </w:r>
    </w:p>
  </w:footnote>
  <w:footnote w:type="continuationSeparator" w:id="0">
    <w:p w14:paraId="19709893" w14:textId="77777777" w:rsidR="001558B9" w:rsidRDefault="001558B9" w:rsidP="00866178">
      <w:pPr>
        <w:spacing w:after="0" w:line="240" w:lineRule="auto"/>
      </w:pPr>
      <w:r>
        <w:continuationSeparator/>
      </w:r>
    </w:p>
  </w:footnote>
  <w:footnote w:id="1">
    <w:p w14:paraId="0A68CF51" w14:textId="2CD24EE9" w:rsidR="00512DB7" w:rsidRPr="001F0FF2" w:rsidRDefault="00512DB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00DB8" w:rsidRPr="001F0FF2">
        <w:rPr>
          <w:rStyle w:val="Nadruk"/>
          <w:rFonts w:cs="Times New Roman"/>
        </w:rPr>
        <w:t>Prosecutor v Akayesu</w:t>
      </w:r>
      <w:r w:rsidR="00B00DB8" w:rsidRPr="001F0FF2">
        <w:rPr>
          <w:rFonts w:cs="Times New Roman"/>
        </w:rPr>
        <w:t xml:space="preserve"> (Judgment) ICTR-96-4-T (2 September 1998) paras 204</w:t>
      </w:r>
      <w:r w:rsidR="00B00DB8" w:rsidRPr="001F0FF2">
        <w:rPr>
          <w:rFonts w:cs="Times New Roman"/>
        </w:rPr>
        <w:t>-</w:t>
      </w:r>
      <w:r w:rsidR="00B00DB8" w:rsidRPr="001F0FF2">
        <w:rPr>
          <w:rFonts w:cs="Times New Roman"/>
        </w:rPr>
        <w:t>208</w:t>
      </w:r>
      <w:r w:rsidR="00266518" w:rsidRPr="001F0FF2">
        <w:rPr>
          <w:rFonts w:cs="Times New Roman"/>
          <w:spacing w:val="-2"/>
        </w:rPr>
        <w:t>;</w:t>
      </w:r>
      <w:r w:rsidR="00266518" w:rsidRPr="001F0FF2">
        <w:rPr>
          <w:rFonts w:cs="Times New Roman"/>
        </w:rPr>
        <w:t xml:space="preserve"> </w:t>
      </w:r>
      <w:r w:rsidR="00FE559B" w:rsidRPr="001F0FF2">
        <w:rPr>
          <w:rStyle w:val="Nadruk"/>
          <w:rFonts w:cs="Times New Roman"/>
        </w:rPr>
        <w:t>Application of the Convention on the Prevention and Punishment of the Crime of Genocide (Bosnia and Herzegovina v Serbia and Montenegro)</w:t>
      </w:r>
      <w:r w:rsidR="00FE559B" w:rsidRPr="001F0FF2">
        <w:rPr>
          <w:rFonts w:cs="Times New Roman"/>
        </w:rPr>
        <w:t xml:space="preserve"> [2007] ICJ Rep 43, para</w:t>
      </w:r>
      <w:r w:rsidR="00FE559B" w:rsidRPr="001F0FF2">
        <w:rPr>
          <w:rFonts w:cs="Times New Roman"/>
        </w:rPr>
        <w:t xml:space="preserve"> </w:t>
      </w:r>
      <w:r w:rsidR="00266518" w:rsidRPr="001F0FF2">
        <w:rPr>
          <w:rFonts w:cs="Times New Roman"/>
        </w:rPr>
        <w:t>87</w:t>
      </w:r>
      <w:r w:rsidR="00B00DB8" w:rsidRPr="001F0FF2">
        <w:rPr>
          <w:rFonts w:cs="Times New Roman"/>
        </w:rPr>
        <w:t xml:space="preserve">; </w:t>
      </w:r>
      <w:r w:rsidRPr="001F0FF2">
        <w:rPr>
          <w:rFonts w:cs="Times New Roman"/>
        </w:rPr>
        <w:t xml:space="preserve">ILC, </w:t>
      </w:r>
      <w:r w:rsidR="00B00DB8" w:rsidRPr="001F0FF2">
        <w:rPr>
          <w:rFonts w:cs="Times New Roman"/>
        </w:rPr>
        <w:t xml:space="preserve">, </w:t>
      </w:r>
      <w:r w:rsidR="00B00DB8" w:rsidRPr="001F0FF2">
        <w:rPr>
          <w:rStyle w:val="Nadruk"/>
          <w:rFonts w:cs="Times New Roman"/>
        </w:rPr>
        <w:t>Draft conclusions on identification and legal consequences of peremptory norms of general international law (jus cogens)</w:t>
      </w:r>
      <w:r w:rsidR="00B00DB8" w:rsidRPr="001F0FF2">
        <w:rPr>
          <w:rFonts w:cs="Times New Roman"/>
        </w:rPr>
        <w:t>, UN Doc A/77/10 (18 April 2022)</w:t>
      </w:r>
      <w:r w:rsidRPr="001F0FF2">
        <w:rPr>
          <w:rFonts w:cs="Times New Roman"/>
        </w:rPr>
        <w:t>;</w:t>
      </w:r>
      <w:r w:rsidRPr="001F0FF2">
        <w:rPr>
          <w:rFonts w:cs="Times New Roman"/>
          <w:spacing w:val="-10"/>
        </w:rPr>
        <w:t xml:space="preserve"> </w:t>
      </w:r>
      <w:r w:rsidR="00B00DB8" w:rsidRPr="001F0FF2">
        <w:rPr>
          <w:rFonts w:cs="Times New Roman"/>
        </w:rPr>
        <w:t xml:space="preserve">Malcolm Shaw, </w:t>
      </w:r>
      <w:r w:rsidR="00B00DB8" w:rsidRPr="001F0FF2">
        <w:rPr>
          <w:rStyle w:val="Nadruk"/>
          <w:rFonts w:cs="Times New Roman"/>
        </w:rPr>
        <w:t>International Law</w:t>
      </w:r>
      <w:r w:rsidR="00B00DB8" w:rsidRPr="001F0FF2">
        <w:rPr>
          <w:rFonts w:cs="Times New Roman"/>
        </w:rPr>
        <w:t xml:space="preserve"> (9th edn, Cambridge University Press 2021) 107</w:t>
      </w:r>
      <w:r w:rsidRPr="001F0FF2">
        <w:rPr>
          <w:rFonts w:cs="Times New Roman"/>
        </w:rPr>
        <w:t xml:space="preserve">; </w:t>
      </w:r>
      <w:r w:rsidR="00B00DB8" w:rsidRPr="001F0FF2">
        <w:rPr>
          <w:rFonts w:cs="Times New Roman"/>
        </w:rPr>
        <w:t xml:space="preserve">William A Schabas, </w:t>
      </w:r>
      <w:r w:rsidR="00B00DB8" w:rsidRPr="001F0FF2">
        <w:rPr>
          <w:rStyle w:val="Nadruk"/>
          <w:rFonts w:cs="Times New Roman"/>
        </w:rPr>
        <w:t>Genocide in International Law</w:t>
      </w:r>
      <w:r w:rsidR="00B00DB8" w:rsidRPr="001F0FF2">
        <w:rPr>
          <w:rFonts w:cs="Times New Roman"/>
        </w:rPr>
        <w:t xml:space="preserve"> (3rd edn, Cambridge University Press 2025) 7</w:t>
      </w:r>
      <w:r w:rsidR="00B00DB8" w:rsidRPr="001F0FF2">
        <w:rPr>
          <w:rFonts w:cs="Times New Roman"/>
        </w:rPr>
        <w:t>.</w:t>
      </w:r>
    </w:p>
  </w:footnote>
  <w:footnote w:id="2">
    <w:p w14:paraId="65C28EFE" w14:textId="1EE7D70B" w:rsidR="00BA319A" w:rsidRPr="001F0FF2" w:rsidRDefault="00BA319A" w:rsidP="00C06674">
      <w:pPr>
        <w:spacing w:after="0" w:line="240" w:lineRule="auto"/>
        <w:ind w:left="23" w:right="137"/>
        <w:jc w:val="both"/>
        <w:rPr>
          <w:sz w:val="20"/>
          <w:szCs w:val="20"/>
        </w:rPr>
      </w:pPr>
      <w:r w:rsidRPr="001F0FF2">
        <w:rPr>
          <w:rStyle w:val="Voetnootmarkering"/>
          <w:sz w:val="20"/>
          <w:szCs w:val="20"/>
        </w:rPr>
        <w:footnoteRef/>
      </w:r>
      <w:r w:rsidRPr="001F0FF2">
        <w:rPr>
          <w:sz w:val="20"/>
          <w:szCs w:val="20"/>
        </w:rPr>
        <w:t xml:space="preserve"> </w:t>
      </w:r>
      <w:r w:rsidR="00B00DB8" w:rsidRPr="001F0FF2">
        <w:rPr>
          <w:sz w:val="20"/>
          <w:szCs w:val="20"/>
        </w:rPr>
        <w:t xml:space="preserve">UNEP, </w:t>
      </w:r>
      <w:r w:rsidR="00B00DB8" w:rsidRPr="001F0FF2">
        <w:rPr>
          <w:i/>
          <w:iCs/>
          <w:sz w:val="20"/>
          <w:szCs w:val="20"/>
        </w:rPr>
        <w:t>‘</w:t>
      </w:r>
      <w:proofErr w:type="spellStart"/>
      <w:r w:rsidR="00B00DB8" w:rsidRPr="001F0FF2">
        <w:rPr>
          <w:i/>
          <w:iCs/>
          <w:sz w:val="20"/>
          <w:szCs w:val="20"/>
        </w:rPr>
        <w:t>Environmental</w:t>
      </w:r>
      <w:proofErr w:type="spellEnd"/>
      <w:r w:rsidR="00B00DB8" w:rsidRPr="001F0FF2">
        <w:rPr>
          <w:i/>
          <w:iCs/>
          <w:sz w:val="20"/>
          <w:szCs w:val="20"/>
        </w:rPr>
        <w:t xml:space="preserve"> Impact of the </w:t>
      </w:r>
      <w:proofErr w:type="spellStart"/>
      <w:r w:rsidR="00B00DB8" w:rsidRPr="001F0FF2">
        <w:rPr>
          <w:i/>
          <w:iCs/>
          <w:sz w:val="20"/>
          <w:szCs w:val="20"/>
        </w:rPr>
        <w:t>Escalation</w:t>
      </w:r>
      <w:proofErr w:type="spellEnd"/>
      <w:r w:rsidR="00B00DB8" w:rsidRPr="001F0FF2">
        <w:rPr>
          <w:i/>
          <w:iCs/>
          <w:sz w:val="20"/>
          <w:szCs w:val="20"/>
        </w:rPr>
        <w:t xml:space="preserve"> of </w:t>
      </w:r>
      <w:proofErr w:type="spellStart"/>
      <w:r w:rsidR="00B00DB8" w:rsidRPr="001F0FF2">
        <w:rPr>
          <w:i/>
          <w:iCs/>
          <w:sz w:val="20"/>
          <w:szCs w:val="20"/>
        </w:rPr>
        <w:t>Conflict</w:t>
      </w:r>
      <w:proofErr w:type="spellEnd"/>
      <w:r w:rsidR="00B00DB8" w:rsidRPr="001F0FF2">
        <w:rPr>
          <w:i/>
          <w:iCs/>
          <w:sz w:val="20"/>
          <w:szCs w:val="20"/>
        </w:rPr>
        <w:t xml:space="preserve"> in the Gaza </w:t>
      </w:r>
      <w:proofErr w:type="spellStart"/>
      <w:r w:rsidR="00B00DB8" w:rsidRPr="001F0FF2">
        <w:rPr>
          <w:i/>
          <w:iCs/>
          <w:sz w:val="20"/>
          <w:szCs w:val="20"/>
        </w:rPr>
        <w:t>Strip</w:t>
      </w:r>
      <w:proofErr w:type="spellEnd"/>
      <w:r w:rsidR="00B00DB8" w:rsidRPr="001F0FF2">
        <w:rPr>
          <w:i/>
          <w:iCs/>
          <w:sz w:val="20"/>
          <w:szCs w:val="20"/>
        </w:rPr>
        <w:t xml:space="preserve">’ Second </w:t>
      </w:r>
      <w:proofErr w:type="spellStart"/>
      <w:r w:rsidR="00B00DB8" w:rsidRPr="001F0FF2">
        <w:rPr>
          <w:i/>
          <w:iCs/>
          <w:sz w:val="20"/>
          <w:szCs w:val="20"/>
        </w:rPr>
        <w:t>assessment</w:t>
      </w:r>
      <w:proofErr w:type="spellEnd"/>
      <w:r w:rsidR="00B00DB8" w:rsidRPr="001F0FF2">
        <w:rPr>
          <w:i/>
          <w:iCs/>
          <w:sz w:val="20"/>
          <w:szCs w:val="20"/>
        </w:rPr>
        <w:t xml:space="preserve"> of </w:t>
      </w:r>
      <w:proofErr w:type="spellStart"/>
      <w:r w:rsidR="00B00DB8" w:rsidRPr="001F0FF2">
        <w:rPr>
          <w:i/>
          <w:iCs/>
          <w:sz w:val="20"/>
          <w:szCs w:val="20"/>
        </w:rPr>
        <w:t>environmental</w:t>
      </w:r>
      <w:proofErr w:type="spellEnd"/>
      <w:r w:rsidR="00B00DB8" w:rsidRPr="001F0FF2">
        <w:rPr>
          <w:i/>
          <w:iCs/>
          <w:sz w:val="20"/>
          <w:szCs w:val="20"/>
        </w:rPr>
        <w:t xml:space="preserve"> damage and </w:t>
      </w:r>
      <w:proofErr w:type="spellStart"/>
      <w:r w:rsidR="00B00DB8" w:rsidRPr="001F0FF2">
        <w:rPr>
          <w:i/>
          <w:iCs/>
          <w:sz w:val="20"/>
          <w:szCs w:val="20"/>
        </w:rPr>
        <w:t>recommendations</w:t>
      </w:r>
      <w:proofErr w:type="spellEnd"/>
      <w:r w:rsidR="00B00DB8" w:rsidRPr="001F0FF2">
        <w:rPr>
          <w:i/>
          <w:iCs/>
          <w:sz w:val="20"/>
          <w:szCs w:val="20"/>
        </w:rPr>
        <w:t xml:space="preserve"> for </w:t>
      </w:r>
      <w:proofErr w:type="spellStart"/>
      <w:r w:rsidR="00B00DB8" w:rsidRPr="001F0FF2">
        <w:rPr>
          <w:i/>
          <w:iCs/>
          <w:sz w:val="20"/>
          <w:szCs w:val="20"/>
        </w:rPr>
        <w:t>recovery</w:t>
      </w:r>
      <w:proofErr w:type="spellEnd"/>
      <w:r w:rsidR="00B00DB8" w:rsidRPr="001F0FF2">
        <w:rPr>
          <w:i/>
          <w:iCs/>
          <w:sz w:val="20"/>
          <w:szCs w:val="20"/>
        </w:rPr>
        <w:t xml:space="preserve"> and reconstruction planning</w:t>
      </w:r>
      <w:r w:rsidR="00B00DB8" w:rsidRPr="001F0FF2">
        <w:rPr>
          <w:sz w:val="20"/>
          <w:szCs w:val="20"/>
        </w:rPr>
        <w:t xml:space="preserve"> (2025) https://doi.org/10.59117/20.500.11822/48536</w:t>
      </w:r>
      <w:r w:rsidRPr="001F0FF2">
        <w:rPr>
          <w:spacing w:val="-2"/>
          <w:sz w:val="20"/>
          <w:szCs w:val="20"/>
        </w:rPr>
        <w:t>.</w:t>
      </w:r>
    </w:p>
  </w:footnote>
  <w:footnote w:id="3">
    <w:p w14:paraId="00DFEDD6" w14:textId="249C2AE4" w:rsidR="000B6E0C" w:rsidRPr="001F0FF2" w:rsidRDefault="000B6E0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Protocol Additional to the Geneva Conventions of 12 August 1949, and relating to the Protection of Victims of International Armed Conflicts (Protocol I) (adopted 8 June 1977, entered into force 7 December 1978) 1125 UNTS 3 arts 35(3), 55; Convention on the Prohibition of Military or Any Other Hostile Use of Environmental Modification Techniques (opened for signature 18 May 1977, entered into force 5 October 1978) 1108 UNTS 151 art 1.</w:t>
      </w:r>
    </w:p>
  </w:footnote>
  <w:footnote w:id="4">
    <w:p w14:paraId="44559574" w14:textId="77777777" w:rsidR="00334C09" w:rsidRPr="001F0FF2" w:rsidRDefault="00334C0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Convention on the Prevention and Punishment of the Crime of Genocide (adopted 9 December 1948, entered into force 12 January 1951) 78 UNTS 277 art 1.</w:t>
      </w:r>
    </w:p>
  </w:footnote>
  <w:footnote w:id="5">
    <w:p w14:paraId="610CB0D0" w14:textId="62DBFEFE" w:rsidR="009910C8" w:rsidRPr="001F0FF2" w:rsidRDefault="009910C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00DB8" w:rsidRPr="001F0FF2">
        <w:rPr>
          <w:rStyle w:val="Nadruk"/>
          <w:rFonts w:cs="Times New Roman"/>
        </w:rPr>
        <w:t>Prosecutor v Akayesu</w:t>
      </w:r>
      <w:r w:rsidR="00B00DB8" w:rsidRPr="001F0FF2">
        <w:rPr>
          <w:rFonts w:cs="Times New Roman"/>
        </w:rPr>
        <w:t xml:space="preserve"> (Judgment) ICTR-96-4-T (2 September 1998) paras </w:t>
      </w:r>
      <w:r w:rsidR="00B00DB8" w:rsidRPr="001F0FF2">
        <w:rPr>
          <w:rFonts w:cs="Times New Roman"/>
        </w:rPr>
        <w:t>122</w:t>
      </w:r>
      <w:r w:rsidRPr="001F0FF2">
        <w:rPr>
          <w:rFonts w:cs="Times New Roman"/>
          <w:spacing w:val="-2"/>
        </w:rPr>
        <w:t xml:space="preserve">; </w:t>
      </w:r>
      <w:r w:rsidR="00B00DB8" w:rsidRPr="001F0FF2">
        <w:rPr>
          <w:rStyle w:val="Nadruk"/>
          <w:rFonts w:cs="Times New Roman"/>
        </w:rPr>
        <w:t>Prosecutor v Rutaganda</w:t>
      </w:r>
      <w:r w:rsidR="00B00DB8" w:rsidRPr="001F0FF2">
        <w:rPr>
          <w:rFonts w:cs="Times New Roman"/>
        </w:rPr>
        <w:t xml:space="preserve"> (Judgment and Sentence) ICTR-96-3-T (6 December 1999) para 206</w:t>
      </w:r>
      <w:r w:rsidRPr="001F0FF2">
        <w:rPr>
          <w:rFonts w:cs="Times New Roman"/>
        </w:rPr>
        <w:t xml:space="preserve">; </w:t>
      </w:r>
      <w:r w:rsidR="00B00DB8" w:rsidRPr="001F0FF2">
        <w:rPr>
          <w:rStyle w:val="Nadruk"/>
          <w:rFonts w:cs="Times New Roman"/>
        </w:rPr>
        <w:t>Prosecutor v Musema</w:t>
      </w:r>
      <w:r w:rsidR="00B00DB8" w:rsidRPr="001F0FF2">
        <w:rPr>
          <w:rFonts w:cs="Times New Roman"/>
        </w:rPr>
        <w:t xml:space="preserve"> (Judgment and Sentence) ICTR-96-13-T (27 January 2000) para 157</w:t>
      </w:r>
      <w:r w:rsidRPr="001F0FF2">
        <w:rPr>
          <w:rFonts w:cs="Times New Roman"/>
          <w:spacing w:val="-2"/>
        </w:rPr>
        <w:t xml:space="preserve">; </w:t>
      </w:r>
      <w:r w:rsidR="00FE559B" w:rsidRPr="001F0FF2">
        <w:rPr>
          <w:rStyle w:val="Nadruk"/>
          <w:rFonts w:cs="Times New Roman"/>
        </w:rPr>
        <w:t>Prosecutor v Jelisic</w:t>
      </w:r>
      <w:r w:rsidR="00FE559B" w:rsidRPr="001F0FF2">
        <w:rPr>
          <w:rFonts w:cs="Times New Roman"/>
        </w:rPr>
        <w:t xml:space="preserve"> (Judgment) IT-95-10-T (14 December 1999) para 70</w:t>
      </w:r>
      <w:r w:rsidR="00FE559B" w:rsidRPr="001F0FF2">
        <w:rPr>
          <w:rFonts w:cs="Times New Roman"/>
          <w:spacing w:val="-2"/>
        </w:rPr>
        <w:t xml:space="preserve">; </w:t>
      </w:r>
      <w:r w:rsidR="00FE559B" w:rsidRPr="001F0FF2">
        <w:rPr>
          <w:rFonts w:cs="Times New Roman"/>
        </w:rPr>
        <w:t xml:space="preserve">Caroline Tournaye, ‘Genocidal Intent before the ICTY’ (2003) 52 </w:t>
      </w:r>
      <w:r w:rsidR="00FE559B" w:rsidRPr="001F0FF2">
        <w:rPr>
          <w:rStyle w:val="Nadruk"/>
          <w:rFonts w:cs="Times New Roman"/>
        </w:rPr>
        <w:t>International and Comparative Law Quarterly</w:t>
      </w:r>
      <w:r w:rsidR="00FE559B" w:rsidRPr="001F0FF2">
        <w:rPr>
          <w:rFonts w:cs="Times New Roman"/>
        </w:rPr>
        <w:t xml:space="preserve"> 447, 449</w:t>
      </w:r>
      <w:r w:rsidR="00FE559B" w:rsidRPr="001F0FF2">
        <w:rPr>
          <w:rFonts w:cs="Times New Roman"/>
        </w:rPr>
        <w:t>-4</w:t>
      </w:r>
      <w:r w:rsidR="00FE559B" w:rsidRPr="001F0FF2">
        <w:rPr>
          <w:rFonts w:cs="Times New Roman"/>
        </w:rPr>
        <w:t>50</w:t>
      </w:r>
      <w:r w:rsidR="00FE559B" w:rsidRPr="001F0FF2">
        <w:rPr>
          <w:rFonts w:cs="Times New Roman"/>
        </w:rPr>
        <w:t xml:space="preserve">; </w:t>
      </w:r>
      <w:r w:rsidR="00FE559B" w:rsidRPr="001F0FF2">
        <w:rPr>
          <w:rFonts w:cs="Times New Roman"/>
        </w:rPr>
        <w:t xml:space="preserve">David Luban, ‘A Theory of Crimes Against Humanity’ (2010) 29 </w:t>
      </w:r>
      <w:r w:rsidR="00FE559B" w:rsidRPr="001F0FF2">
        <w:rPr>
          <w:rStyle w:val="Nadruk"/>
          <w:rFonts w:cs="Times New Roman"/>
        </w:rPr>
        <w:t>Yale Journal of International Law</w:t>
      </w:r>
      <w:r w:rsidR="00FE559B" w:rsidRPr="001F0FF2">
        <w:rPr>
          <w:rFonts w:cs="Times New Roman"/>
        </w:rPr>
        <w:t xml:space="preserve"> 85, 97</w:t>
      </w:r>
      <w:r w:rsidR="00FE559B" w:rsidRPr="001F0FF2">
        <w:rPr>
          <w:rFonts w:cs="Times New Roman"/>
        </w:rPr>
        <w:t xml:space="preserve">; </w:t>
      </w:r>
      <w:r w:rsidR="00FE559B" w:rsidRPr="001F0FF2">
        <w:rPr>
          <w:rFonts w:cs="Times New Roman"/>
        </w:rPr>
        <w:t xml:space="preserve">Antonio Cassese, Guido Acquaviva, Mary Fan and Alex Whiting, </w:t>
      </w:r>
      <w:r w:rsidR="00FE559B" w:rsidRPr="001F0FF2">
        <w:rPr>
          <w:rStyle w:val="Nadruk"/>
          <w:rFonts w:cs="Times New Roman"/>
        </w:rPr>
        <w:t>International Criminal Law: Cases &amp; Commentary</w:t>
      </w:r>
      <w:r w:rsidR="00FE559B" w:rsidRPr="001F0FF2">
        <w:rPr>
          <w:rFonts w:cs="Times New Roman"/>
        </w:rPr>
        <w:t xml:space="preserve"> (Oxford University Press 2011) 209</w:t>
      </w:r>
      <w:r w:rsidR="00FE559B" w:rsidRPr="001F0FF2">
        <w:rPr>
          <w:rFonts w:cs="Times New Roman"/>
        </w:rPr>
        <w:t>.</w:t>
      </w:r>
    </w:p>
  </w:footnote>
  <w:footnote w:id="6">
    <w:p w14:paraId="2ADD7968" w14:textId="04E221DD" w:rsidR="009910C8" w:rsidRPr="001F0FF2" w:rsidRDefault="009910C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FE559B" w:rsidRPr="001F0FF2">
        <w:rPr>
          <w:rStyle w:val="Nadruk"/>
          <w:rFonts w:cs="Times New Roman"/>
        </w:rPr>
        <w:t>Barcelona Traction, Light and Power Company, Limited (Belgium v Spain)</w:t>
      </w:r>
      <w:r w:rsidR="00FE559B" w:rsidRPr="001F0FF2">
        <w:rPr>
          <w:rFonts w:cs="Times New Roman"/>
        </w:rPr>
        <w:t xml:space="preserve"> (Judgment) [1970] ICJ Rep 3, paras 33</w:t>
      </w:r>
      <w:r w:rsidR="00FE559B" w:rsidRPr="001F0FF2">
        <w:rPr>
          <w:rFonts w:cs="Times New Roman"/>
        </w:rPr>
        <w:t>-</w:t>
      </w:r>
      <w:r w:rsidR="00FE559B" w:rsidRPr="001F0FF2">
        <w:rPr>
          <w:rFonts w:cs="Times New Roman"/>
        </w:rPr>
        <w:t>34</w:t>
      </w:r>
      <w:r w:rsidRPr="001F0FF2">
        <w:rPr>
          <w:rFonts w:cs="Times New Roman"/>
        </w:rPr>
        <w:t xml:space="preserve">; </w:t>
      </w:r>
      <w:r w:rsidR="00FE559B" w:rsidRPr="001F0FF2">
        <w:rPr>
          <w:rStyle w:val="Nadruk"/>
          <w:rFonts w:cs="Times New Roman"/>
        </w:rPr>
        <w:t>Questions relating to the Obligation to Prosecute or Extradite (Belgium v Senegal)</w:t>
      </w:r>
      <w:r w:rsidR="00FE559B" w:rsidRPr="001F0FF2">
        <w:rPr>
          <w:rFonts w:cs="Times New Roman"/>
        </w:rPr>
        <w:t xml:space="preserve"> (Judgment) [2012] ICJ Rep 422, paras 68</w:t>
      </w:r>
      <w:r w:rsidR="00FE559B" w:rsidRPr="001F0FF2">
        <w:rPr>
          <w:rFonts w:cs="Times New Roman"/>
        </w:rPr>
        <w:t>-</w:t>
      </w:r>
      <w:r w:rsidR="00FE559B" w:rsidRPr="001F0FF2">
        <w:rPr>
          <w:rFonts w:cs="Times New Roman"/>
        </w:rPr>
        <w:t>69</w:t>
      </w:r>
      <w:r w:rsidR="00FE559B" w:rsidRPr="001F0FF2">
        <w:rPr>
          <w:rFonts w:cs="Times New Roman"/>
        </w:rPr>
        <w:t xml:space="preserve">; </w:t>
      </w:r>
      <w:r w:rsidR="00FE559B" w:rsidRPr="001F0FF2">
        <w:rPr>
          <w:rFonts w:cs="Times New Roman"/>
        </w:rPr>
        <w:t xml:space="preserve">Agnieszka Kaczorowska-Ireland, </w:t>
      </w:r>
      <w:r w:rsidR="00FE559B" w:rsidRPr="001F0FF2">
        <w:rPr>
          <w:rStyle w:val="Nadruk"/>
          <w:rFonts w:cs="Times New Roman"/>
        </w:rPr>
        <w:t>Public International Law</w:t>
      </w:r>
      <w:r w:rsidR="00FE559B" w:rsidRPr="001F0FF2">
        <w:rPr>
          <w:rFonts w:cs="Times New Roman"/>
        </w:rPr>
        <w:t xml:space="preserve"> (Routledge 2015) 44</w:t>
      </w:r>
      <w:r w:rsidR="00FE559B" w:rsidRPr="001F0FF2">
        <w:rPr>
          <w:rFonts w:cs="Times New Roman"/>
        </w:rPr>
        <w:t>-</w:t>
      </w:r>
      <w:r w:rsidR="00FE559B" w:rsidRPr="001F0FF2">
        <w:rPr>
          <w:rFonts w:cs="Times New Roman"/>
        </w:rPr>
        <w:t>45</w:t>
      </w:r>
      <w:r w:rsidR="00FE559B" w:rsidRPr="001F0FF2">
        <w:rPr>
          <w:rFonts w:cs="Times New Roman"/>
        </w:rPr>
        <w:t>.</w:t>
      </w:r>
    </w:p>
  </w:footnote>
  <w:footnote w:id="7">
    <w:p w14:paraId="1888BB79" w14:textId="2B026C0D" w:rsidR="00033943" w:rsidRPr="001F0FF2" w:rsidRDefault="0003394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5A12C5" w:rsidRPr="001F0FF2">
        <w:rPr>
          <w:rFonts w:cs="Times New Roman"/>
        </w:rPr>
        <w:t xml:space="preserve">Caroline Tournaye, ‘Genocidal Intent before the ICTY’ (2003) 52 </w:t>
      </w:r>
      <w:r w:rsidR="005A12C5" w:rsidRPr="001F0FF2">
        <w:rPr>
          <w:rStyle w:val="Nadruk"/>
          <w:rFonts w:cs="Times New Roman"/>
        </w:rPr>
        <w:t>International and Comparative Law Quarterly</w:t>
      </w:r>
      <w:r w:rsidR="005A12C5" w:rsidRPr="001F0FF2">
        <w:rPr>
          <w:rFonts w:cs="Times New Roman"/>
        </w:rPr>
        <w:t xml:space="preserve"> 447</w:t>
      </w:r>
      <w:r w:rsidR="005A12C5" w:rsidRPr="001F0FF2">
        <w:rPr>
          <w:rFonts w:cs="Times New Roman"/>
        </w:rPr>
        <w:t>, 447-462.</w:t>
      </w:r>
    </w:p>
  </w:footnote>
  <w:footnote w:id="8">
    <w:p w14:paraId="3AE22519" w14:textId="0EE8E83B"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5A12C5" w:rsidRPr="001F0FF2">
        <w:rPr>
          <w:rFonts w:cs="Times New Roman"/>
        </w:rPr>
        <w:t xml:space="preserve">Steven Ratner and Jason Abrams, </w:t>
      </w:r>
      <w:r w:rsidR="005A12C5" w:rsidRPr="001F0FF2">
        <w:rPr>
          <w:rStyle w:val="Nadruk"/>
          <w:rFonts w:cs="Times New Roman"/>
        </w:rPr>
        <w:t>Accountability for Human Rights Atrocities in International Law: Beyond the Nuremberg Legacy</w:t>
      </w:r>
      <w:r w:rsidR="005A12C5" w:rsidRPr="001F0FF2">
        <w:rPr>
          <w:rFonts w:cs="Times New Roman"/>
        </w:rPr>
        <w:t xml:space="preserve"> (Clarendon Press 1997) 24; Gerhard Werle, </w:t>
      </w:r>
      <w:r w:rsidR="005A12C5" w:rsidRPr="001F0FF2">
        <w:rPr>
          <w:rStyle w:val="Nadruk"/>
          <w:rFonts w:cs="Times New Roman"/>
        </w:rPr>
        <w:t>Principles of International Criminal Law</w:t>
      </w:r>
      <w:r w:rsidR="005A12C5" w:rsidRPr="001F0FF2">
        <w:rPr>
          <w:rFonts w:cs="Times New Roman"/>
        </w:rPr>
        <w:t xml:space="preserve"> (TMC Asser Press 2005) 188; Gert Kemp, </w:t>
      </w:r>
      <w:r w:rsidR="005A12C5" w:rsidRPr="001F0FF2">
        <w:rPr>
          <w:rStyle w:val="Nadruk"/>
          <w:rFonts w:cs="Times New Roman"/>
        </w:rPr>
        <w:t>Criminal Law in South Africa</w:t>
      </w:r>
      <w:r w:rsidR="005A12C5" w:rsidRPr="001F0FF2">
        <w:rPr>
          <w:rFonts w:cs="Times New Roman"/>
        </w:rPr>
        <w:t xml:space="preserve"> (Oxford University Press 2015) 608.</w:t>
      </w:r>
    </w:p>
  </w:footnote>
  <w:footnote w:id="9">
    <w:p w14:paraId="18918DA1" w14:textId="32DA3E01" w:rsidR="00866178" w:rsidRPr="001F0FF2" w:rsidRDefault="00866178" w:rsidP="00C06674">
      <w:pPr>
        <w:pStyle w:val="Normaalweb"/>
        <w:spacing w:after="0" w:line="240" w:lineRule="auto"/>
        <w:jc w:val="both"/>
        <w:rPr>
          <w:rFonts w:eastAsia="Times New Roman" w:cs="Times New Roman"/>
          <w:sz w:val="20"/>
          <w:szCs w:val="20"/>
          <w:lang w:eastAsia="nl-NL"/>
        </w:rPr>
      </w:pPr>
      <w:r w:rsidRPr="001F0FF2">
        <w:rPr>
          <w:rStyle w:val="Voetnootmarkering"/>
          <w:rFonts w:cs="Times New Roman"/>
          <w:sz w:val="20"/>
          <w:szCs w:val="20"/>
        </w:rPr>
        <w:footnoteRef/>
      </w:r>
      <w:r w:rsidRPr="001F0FF2">
        <w:rPr>
          <w:rFonts w:cs="Times New Roman"/>
          <w:sz w:val="20"/>
          <w:szCs w:val="20"/>
        </w:rPr>
        <w:t xml:space="preserve"> </w:t>
      </w:r>
      <w:r w:rsidR="005A12C5" w:rsidRPr="001F0FF2">
        <w:rPr>
          <w:rFonts w:cs="Times New Roman"/>
          <w:sz w:val="20"/>
          <w:szCs w:val="20"/>
          <w:lang w:val="fr-BE"/>
        </w:rPr>
        <w:t xml:space="preserve">William A </w:t>
      </w:r>
      <w:proofErr w:type="spellStart"/>
      <w:r w:rsidR="005A12C5" w:rsidRPr="001F0FF2">
        <w:rPr>
          <w:rFonts w:cs="Times New Roman"/>
          <w:sz w:val="20"/>
          <w:szCs w:val="20"/>
          <w:lang w:val="fr-BE"/>
        </w:rPr>
        <w:t>Schabas</w:t>
      </w:r>
      <w:proofErr w:type="spellEnd"/>
      <w:r w:rsidR="005A12C5" w:rsidRPr="001F0FF2">
        <w:rPr>
          <w:rFonts w:cs="Times New Roman"/>
          <w:sz w:val="20"/>
          <w:szCs w:val="20"/>
          <w:lang w:val="fr-BE"/>
        </w:rPr>
        <w:t xml:space="preserve">, </w:t>
      </w:r>
      <w:proofErr w:type="spellStart"/>
      <w:r w:rsidR="005A12C5" w:rsidRPr="001F0FF2">
        <w:rPr>
          <w:rFonts w:cs="Times New Roman"/>
          <w:i/>
          <w:iCs/>
          <w:sz w:val="20"/>
          <w:szCs w:val="20"/>
          <w:lang w:val="fr-BE"/>
        </w:rPr>
        <w:t>Genocide</w:t>
      </w:r>
      <w:proofErr w:type="spellEnd"/>
      <w:r w:rsidR="005A12C5" w:rsidRPr="001F0FF2">
        <w:rPr>
          <w:rFonts w:cs="Times New Roman"/>
          <w:i/>
          <w:iCs/>
          <w:sz w:val="20"/>
          <w:szCs w:val="20"/>
          <w:lang w:val="fr-BE"/>
        </w:rPr>
        <w:t xml:space="preserve"> in International Law</w:t>
      </w:r>
      <w:r w:rsidR="005A12C5" w:rsidRPr="001F0FF2">
        <w:rPr>
          <w:rFonts w:cs="Times New Roman"/>
          <w:sz w:val="20"/>
          <w:szCs w:val="20"/>
          <w:lang w:val="fr-BE"/>
        </w:rPr>
        <w:t xml:space="preserve"> (3rd </w:t>
      </w:r>
      <w:proofErr w:type="spellStart"/>
      <w:r w:rsidR="005A12C5" w:rsidRPr="001F0FF2">
        <w:rPr>
          <w:rFonts w:cs="Times New Roman"/>
          <w:sz w:val="20"/>
          <w:szCs w:val="20"/>
          <w:lang w:val="fr-BE"/>
        </w:rPr>
        <w:t>edn</w:t>
      </w:r>
      <w:proofErr w:type="spellEnd"/>
      <w:r w:rsidR="005A12C5" w:rsidRPr="001F0FF2">
        <w:rPr>
          <w:rFonts w:cs="Times New Roman"/>
          <w:sz w:val="20"/>
          <w:szCs w:val="20"/>
          <w:lang w:val="fr-BE"/>
        </w:rPr>
        <w:t xml:space="preserve">, Cambridge </w:t>
      </w:r>
      <w:proofErr w:type="spellStart"/>
      <w:r w:rsidR="005A12C5" w:rsidRPr="001F0FF2">
        <w:rPr>
          <w:rFonts w:cs="Times New Roman"/>
          <w:sz w:val="20"/>
          <w:szCs w:val="20"/>
          <w:lang w:val="fr-BE"/>
        </w:rPr>
        <w:t>University</w:t>
      </w:r>
      <w:proofErr w:type="spellEnd"/>
      <w:r w:rsidR="005A12C5" w:rsidRPr="001F0FF2">
        <w:rPr>
          <w:rFonts w:cs="Times New Roman"/>
          <w:sz w:val="20"/>
          <w:szCs w:val="20"/>
          <w:lang w:val="fr-BE"/>
        </w:rPr>
        <w:t xml:space="preserve"> Press 2025) 1.</w:t>
      </w:r>
    </w:p>
  </w:footnote>
  <w:footnote w:id="10">
    <w:p w14:paraId="2E033665" w14:textId="788606C4"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5A12C5" w:rsidRPr="001F0FF2">
        <w:rPr>
          <w:rFonts w:cs="Times New Roman"/>
          <w:lang w:val="fr-BE"/>
        </w:rPr>
        <w:t xml:space="preserve">Gerhard Werle, </w:t>
      </w:r>
      <w:r w:rsidR="005A12C5" w:rsidRPr="001F0FF2">
        <w:rPr>
          <w:rFonts w:cs="Times New Roman"/>
          <w:i/>
          <w:iCs/>
          <w:lang w:val="fr-BE"/>
        </w:rPr>
        <w:t>Principles of International Criminal Law</w:t>
      </w:r>
      <w:r w:rsidR="005A12C5" w:rsidRPr="001F0FF2">
        <w:rPr>
          <w:rFonts w:cs="Times New Roman"/>
          <w:lang w:val="fr-BE"/>
        </w:rPr>
        <w:t xml:space="preserve"> (TMC Asser Press 2005) 188; Gert Kemp, </w:t>
      </w:r>
      <w:r w:rsidR="005A12C5" w:rsidRPr="001F0FF2">
        <w:rPr>
          <w:rFonts w:cs="Times New Roman"/>
          <w:i/>
          <w:iCs/>
          <w:lang w:val="fr-BE"/>
        </w:rPr>
        <w:t>Criminal Law in South Africa</w:t>
      </w:r>
      <w:r w:rsidR="005A12C5" w:rsidRPr="001F0FF2">
        <w:rPr>
          <w:rFonts w:cs="Times New Roman"/>
          <w:lang w:val="fr-BE"/>
        </w:rPr>
        <w:t xml:space="preserve"> (Oxford </w:t>
      </w:r>
      <w:proofErr w:type="spellStart"/>
      <w:r w:rsidR="005A12C5" w:rsidRPr="001F0FF2">
        <w:rPr>
          <w:rFonts w:cs="Times New Roman"/>
          <w:lang w:val="fr-BE"/>
        </w:rPr>
        <w:t>University</w:t>
      </w:r>
      <w:proofErr w:type="spellEnd"/>
      <w:r w:rsidR="005A12C5" w:rsidRPr="001F0FF2">
        <w:rPr>
          <w:rFonts w:cs="Times New Roman"/>
          <w:lang w:val="fr-BE"/>
        </w:rPr>
        <w:t xml:space="preserve"> Press 2015) 608</w:t>
      </w:r>
      <w:r w:rsidR="00E80C47" w:rsidRPr="001F0FF2">
        <w:rPr>
          <w:rFonts w:cs="Times New Roman"/>
        </w:rPr>
        <w:t xml:space="preserve">; </w:t>
      </w:r>
      <w:r w:rsidR="006E0402" w:rsidRPr="001F0FF2">
        <w:rPr>
          <w:rFonts w:cs="Times New Roman"/>
        </w:rPr>
        <w:t>Lydia Millar, ‘Has the ICC just advanced accountability for wartime environmental damage?’ (CEOBS, 8 December 2025) https://ceobs.org/has-the-icc-just-advanced-accountability-for-wartime-environmental-damage/ accessed 12 May 2026.</w:t>
      </w:r>
    </w:p>
  </w:footnote>
  <w:footnote w:id="11">
    <w:p w14:paraId="2FA375A4" w14:textId="69092BC4"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Fonts w:cs="Times New Roman"/>
        </w:rPr>
        <w:t xml:space="preserve">Raphael Lemkin, </w:t>
      </w:r>
      <w:r w:rsidR="006E0402" w:rsidRPr="001F0FF2">
        <w:rPr>
          <w:rStyle w:val="Nadruk"/>
          <w:rFonts w:cs="Times New Roman"/>
        </w:rPr>
        <w:t>Axis Rule in Occupied Europe: Laws of Occupation, Analysis of Government, Proposals for Redress</w:t>
      </w:r>
      <w:r w:rsidR="006E0402" w:rsidRPr="001F0FF2">
        <w:rPr>
          <w:rFonts w:cs="Times New Roman"/>
        </w:rPr>
        <w:t xml:space="preserve"> (Carnegie Endowment for International Peace 1944) 79; Mark Lattimer, </w:t>
      </w:r>
      <w:r w:rsidR="006E0402" w:rsidRPr="001F0FF2">
        <w:rPr>
          <w:rStyle w:val="Nadruk"/>
          <w:rFonts w:cs="Times New Roman"/>
        </w:rPr>
        <w:t>Genocide and Human Rights</w:t>
      </w:r>
      <w:r w:rsidR="006E0402" w:rsidRPr="001F0FF2">
        <w:rPr>
          <w:rFonts w:cs="Times New Roman"/>
        </w:rPr>
        <w:t xml:space="preserve"> (Ashgate Publishing Limited 2007) xii; Gerhard Werle, </w:t>
      </w:r>
      <w:r w:rsidR="006E0402" w:rsidRPr="001F0FF2">
        <w:rPr>
          <w:rStyle w:val="Nadruk"/>
          <w:rFonts w:cs="Times New Roman"/>
        </w:rPr>
        <w:t>Principles of International Criminal Law</w:t>
      </w:r>
      <w:r w:rsidR="006E0402" w:rsidRPr="001F0FF2">
        <w:rPr>
          <w:rFonts w:cs="Times New Roman"/>
        </w:rPr>
        <w:t xml:space="preserve"> (TMC Asser Press 2005) 190; Gert Kemp, </w:t>
      </w:r>
      <w:r w:rsidR="006E0402" w:rsidRPr="001F0FF2">
        <w:rPr>
          <w:rStyle w:val="Nadruk"/>
          <w:rFonts w:cs="Times New Roman"/>
        </w:rPr>
        <w:t>Criminal Law in South Africa</w:t>
      </w:r>
      <w:r w:rsidR="006E0402" w:rsidRPr="001F0FF2">
        <w:rPr>
          <w:rFonts w:cs="Times New Roman"/>
        </w:rPr>
        <w:t xml:space="preserve"> (Oxford University Press 2015) 608; Philippe Sands, </w:t>
      </w:r>
      <w:r w:rsidR="006E0402" w:rsidRPr="001F0FF2">
        <w:rPr>
          <w:rStyle w:val="Nadruk"/>
          <w:rFonts w:cs="Times New Roman"/>
        </w:rPr>
        <w:t>East West Street: On the Origins of Genocide and Crimes Against Humanity</w:t>
      </w:r>
      <w:r w:rsidR="006E0402" w:rsidRPr="001F0FF2">
        <w:rPr>
          <w:rFonts w:cs="Times New Roman"/>
        </w:rPr>
        <w:t xml:space="preserve"> (Weidenfeld &amp; Nicolson 2016) 179; William A Schabas, </w:t>
      </w:r>
      <w:r w:rsidR="006E0402" w:rsidRPr="001F0FF2">
        <w:rPr>
          <w:rStyle w:val="Nadruk"/>
          <w:rFonts w:cs="Times New Roman"/>
        </w:rPr>
        <w:t>Genocide in International Law</w:t>
      </w:r>
      <w:r w:rsidR="006E0402" w:rsidRPr="001F0FF2">
        <w:rPr>
          <w:rFonts w:cs="Times New Roman"/>
        </w:rPr>
        <w:t xml:space="preserve"> (3rd edn, Cambridge University Press 2025) 17.</w:t>
      </w:r>
    </w:p>
  </w:footnote>
  <w:footnote w:id="12">
    <w:p w14:paraId="19EEE4FE" w14:textId="0B6DF579"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Style w:val="Nadruk"/>
          <w:rFonts w:cs="Times New Roman"/>
        </w:rPr>
        <w:t>Trial of the Major War Criminals before the International Military Tribunal</w:t>
      </w:r>
      <w:r w:rsidR="006E0402" w:rsidRPr="001F0FF2">
        <w:rPr>
          <w:rFonts w:cs="Times New Roman"/>
        </w:rPr>
        <w:t xml:space="preserve"> (Judgment) (1 October 1946) 171</w:t>
      </w:r>
      <w:r w:rsidR="006E0402" w:rsidRPr="001F0FF2">
        <w:rPr>
          <w:rFonts w:cs="Times New Roman"/>
        </w:rPr>
        <w:t>-1</w:t>
      </w:r>
      <w:r w:rsidR="006E0402" w:rsidRPr="001F0FF2">
        <w:rPr>
          <w:rFonts w:cs="Times New Roman"/>
        </w:rPr>
        <w:t xml:space="preserve">72; Gerhard Werle, </w:t>
      </w:r>
      <w:r w:rsidR="006E0402" w:rsidRPr="001F0FF2">
        <w:rPr>
          <w:rStyle w:val="Nadruk"/>
          <w:rFonts w:cs="Times New Roman"/>
        </w:rPr>
        <w:t>Principles of International Criminal Law</w:t>
      </w:r>
      <w:r w:rsidR="006E0402" w:rsidRPr="001F0FF2">
        <w:rPr>
          <w:rFonts w:cs="Times New Roman"/>
        </w:rPr>
        <w:t xml:space="preserve"> (TMC Asser Press 2005) 95.</w:t>
      </w:r>
    </w:p>
  </w:footnote>
  <w:footnote w:id="13">
    <w:p w14:paraId="7DA4CDDF" w14:textId="3D91598C"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Fonts w:cs="Times New Roman"/>
        </w:rPr>
        <w:t xml:space="preserve">UN General Assembly, </w:t>
      </w:r>
      <w:r w:rsidR="006E0402" w:rsidRPr="001F0FF2">
        <w:rPr>
          <w:rStyle w:val="Nadruk"/>
          <w:rFonts w:cs="Times New Roman"/>
        </w:rPr>
        <w:t>The Crime of Genocide</w:t>
      </w:r>
      <w:r w:rsidR="006E0402" w:rsidRPr="001F0FF2">
        <w:rPr>
          <w:rFonts w:cs="Times New Roman"/>
        </w:rPr>
        <w:t xml:space="preserve"> UNGA Res 96(I) (11 December 1946); Yuval Shany, ‘The Road to the Genocide Convention and Beyond’ in Paola Gaeta (ed), </w:t>
      </w:r>
      <w:r w:rsidR="006E0402" w:rsidRPr="001F0FF2">
        <w:rPr>
          <w:rStyle w:val="Nadruk"/>
          <w:rFonts w:cs="Times New Roman"/>
        </w:rPr>
        <w:t>The UN Genocide Convention</w:t>
      </w:r>
      <w:r w:rsidR="006E0402" w:rsidRPr="001F0FF2">
        <w:rPr>
          <w:rFonts w:cs="Times New Roman"/>
        </w:rPr>
        <w:t xml:space="preserve"> (Oxford University Press 2009) 3.</w:t>
      </w:r>
    </w:p>
  </w:footnote>
  <w:footnote w:id="14">
    <w:p w14:paraId="22F3235F" w14:textId="663153A2" w:rsidR="00866178" w:rsidRPr="001F0FF2" w:rsidRDefault="008661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Fonts w:cs="Times New Roman"/>
        </w:rPr>
        <w:t>Convention on the Prevention and Punishment of the Crime of Genocide (adopted 9 December 1948, entered into force 12 January 1951) 78 UNTS 277</w:t>
      </w:r>
      <w:r w:rsidR="006E0402" w:rsidRPr="001F0FF2">
        <w:rPr>
          <w:rFonts w:cs="Times New Roman"/>
        </w:rPr>
        <w:t>.</w:t>
      </w:r>
    </w:p>
  </w:footnote>
  <w:footnote w:id="15">
    <w:p w14:paraId="0680B1B7" w14:textId="44BA3F5B" w:rsidR="00692D04" w:rsidRPr="001F0FF2" w:rsidRDefault="00692D0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Fonts w:cs="Times New Roman"/>
        </w:rPr>
        <w:t xml:space="preserve">Rome Statute of the International Criminal Court (adopted 17 July 1998, entered into force 1 July 2002) 2187 UNTS 90 art 5; Gleider Hernandez, </w:t>
      </w:r>
      <w:r w:rsidR="006E0402" w:rsidRPr="001F0FF2">
        <w:rPr>
          <w:rStyle w:val="Nadruk"/>
          <w:rFonts w:cs="Times New Roman"/>
        </w:rPr>
        <w:t>International Law</w:t>
      </w:r>
      <w:r w:rsidR="006E0402" w:rsidRPr="001F0FF2">
        <w:rPr>
          <w:rFonts w:cs="Times New Roman"/>
        </w:rPr>
        <w:t xml:space="preserve"> (Oxford University Press 2025) 505; Donald R Rothwell, Stuart Kaye, Afshin Akhtarkhavari, Ruth Davis and Imogen Saunders, </w:t>
      </w:r>
      <w:r w:rsidR="006E0402" w:rsidRPr="001F0FF2">
        <w:rPr>
          <w:rStyle w:val="Nadruk"/>
          <w:rFonts w:cs="Times New Roman"/>
        </w:rPr>
        <w:t>International Law: Cases and Materials with Australian Perspectives</w:t>
      </w:r>
      <w:r w:rsidR="006E0402" w:rsidRPr="001F0FF2">
        <w:rPr>
          <w:rFonts w:cs="Times New Roman"/>
        </w:rPr>
        <w:t xml:space="preserve"> (Cambridge University Press 2018) 737.</w:t>
      </w:r>
    </w:p>
  </w:footnote>
  <w:footnote w:id="16">
    <w:p w14:paraId="758D9F41" w14:textId="3F9FD474" w:rsidR="005E5C0C" w:rsidRPr="001F0FF2" w:rsidRDefault="005E5C0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E0402" w:rsidRPr="001F0FF2">
        <w:rPr>
          <w:rFonts w:cs="Times New Roman"/>
        </w:rPr>
        <w:t xml:space="preserve">Gleider Hernandez, </w:t>
      </w:r>
      <w:r w:rsidR="006E0402" w:rsidRPr="001F0FF2">
        <w:rPr>
          <w:rStyle w:val="Nadruk"/>
          <w:rFonts w:cs="Times New Roman"/>
        </w:rPr>
        <w:t>International Law</w:t>
      </w:r>
      <w:r w:rsidR="006E0402" w:rsidRPr="001F0FF2">
        <w:rPr>
          <w:rFonts w:cs="Times New Roman"/>
        </w:rPr>
        <w:t xml:space="preserve"> (Oxford University Press 2025) 50</w:t>
      </w:r>
      <w:r w:rsidR="006E0402" w:rsidRPr="001F0FF2">
        <w:rPr>
          <w:rFonts w:cs="Times New Roman"/>
        </w:rPr>
        <w:t>4</w:t>
      </w:r>
      <w:r w:rsidRPr="001F0FF2">
        <w:rPr>
          <w:rFonts w:cs="Times New Roman"/>
        </w:rPr>
        <w:t>.</w:t>
      </w:r>
    </w:p>
  </w:footnote>
  <w:footnote w:id="17">
    <w:p w14:paraId="7038DCC7" w14:textId="485EF082" w:rsidR="00F62A6A" w:rsidRPr="001F0FF2" w:rsidRDefault="00F62A6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E4B83" w:rsidRPr="001F0FF2">
        <w:rPr>
          <w:rFonts w:cs="Times New Roman"/>
        </w:rPr>
        <w:t>Art I Convention on the Prevention and Punishment of the Crime of Genocide;</w:t>
      </w:r>
      <w:r w:rsidR="001E4B83" w:rsidRPr="001F0FF2">
        <w:rPr>
          <w:rFonts w:cs="Times New Roman"/>
          <w:lang w:val="fr-BE"/>
        </w:rPr>
        <w:t xml:space="preserve"> </w:t>
      </w:r>
      <w:r w:rsidRPr="001F0FF2">
        <w:rPr>
          <w:rFonts w:cs="Times New Roman"/>
          <w:lang w:val="fr-BE"/>
        </w:rPr>
        <w:t xml:space="preserve">Vasile Croitor, ‘The </w:t>
      </w:r>
      <w:proofErr w:type="spellStart"/>
      <w:r w:rsidRPr="001F0FF2">
        <w:rPr>
          <w:rFonts w:cs="Times New Roman"/>
          <w:lang w:val="fr-BE"/>
        </w:rPr>
        <w:t>Interpretation</w:t>
      </w:r>
      <w:proofErr w:type="spellEnd"/>
      <w:r w:rsidRPr="001F0FF2">
        <w:rPr>
          <w:rFonts w:cs="Times New Roman"/>
          <w:lang w:val="fr-BE"/>
        </w:rPr>
        <w:t xml:space="preserve"> of </w:t>
      </w:r>
      <w:proofErr w:type="spellStart"/>
      <w:r w:rsidRPr="001F0FF2">
        <w:rPr>
          <w:rFonts w:cs="Times New Roman"/>
          <w:lang w:val="fr-BE"/>
        </w:rPr>
        <w:t>Treaties</w:t>
      </w:r>
      <w:proofErr w:type="spellEnd"/>
      <w:r w:rsidRPr="001F0FF2">
        <w:rPr>
          <w:rFonts w:cs="Times New Roman"/>
          <w:lang w:val="fr-BE"/>
        </w:rPr>
        <w:t xml:space="preserve"> </w:t>
      </w:r>
      <w:proofErr w:type="spellStart"/>
      <w:r w:rsidRPr="001F0FF2">
        <w:rPr>
          <w:rFonts w:cs="Times New Roman"/>
          <w:lang w:val="fr-BE"/>
        </w:rPr>
        <w:t>According</w:t>
      </w:r>
      <w:proofErr w:type="spellEnd"/>
      <w:r w:rsidRPr="001F0FF2">
        <w:rPr>
          <w:rFonts w:cs="Times New Roman"/>
          <w:lang w:val="fr-BE"/>
        </w:rPr>
        <w:t xml:space="preserve"> to the Vienna Convention on the Law of </w:t>
      </w:r>
      <w:proofErr w:type="spellStart"/>
      <w:r w:rsidRPr="001F0FF2">
        <w:rPr>
          <w:rFonts w:cs="Times New Roman"/>
          <w:lang w:val="fr-BE"/>
        </w:rPr>
        <w:t>Treaties</w:t>
      </w:r>
      <w:proofErr w:type="spellEnd"/>
      <w:r w:rsidRPr="001F0FF2">
        <w:rPr>
          <w:rFonts w:cs="Times New Roman"/>
          <w:lang w:val="fr-BE"/>
        </w:rPr>
        <w:t xml:space="preserve">’ (2015) 3 </w:t>
      </w:r>
      <w:proofErr w:type="spellStart"/>
      <w:r w:rsidRPr="001F0FF2">
        <w:rPr>
          <w:rFonts w:cs="Times New Roman"/>
          <w:i/>
          <w:iCs/>
          <w:lang w:val="fr-BE"/>
        </w:rPr>
        <w:t>Moldoscopie</w:t>
      </w:r>
      <w:proofErr w:type="spellEnd"/>
      <w:r w:rsidRPr="001F0FF2">
        <w:rPr>
          <w:rFonts w:cs="Times New Roman"/>
          <w:lang w:val="fr-BE"/>
        </w:rPr>
        <w:t xml:space="preserve"> 54 https://ibn.idsi.md/sites/default/files/imag_file/54-60_37.pdf </w:t>
      </w:r>
      <w:proofErr w:type="spellStart"/>
      <w:r w:rsidRPr="001F0FF2">
        <w:rPr>
          <w:rFonts w:cs="Times New Roman"/>
          <w:lang w:val="fr-BE"/>
        </w:rPr>
        <w:t>accessed</w:t>
      </w:r>
      <w:proofErr w:type="spellEnd"/>
      <w:r w:rsidRPr="001F0FF2">
        <w:rPr>
          <w:rFonts w:cs="Times New Roman"/>
          <w:lang w:val="fr-BE"/>
        </w:rPr>
        <w:t xml:space="preserve"> 7 May 2026.</w:t>
      </w:r>
    </w:p>
  </w:footnote>
  <w:footnote w:id="18">
    <w:p w14:paraId="77F590C1" w14:textId="1433C681" w:rsidR="00F62A6A" w:rsidRPr="001F0FF2" w:rsidRDefault="00F62A6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Art I Convention on the Prevention and Punishment of </w:t>
      </w:r>
      <w:r w:rsidRPr="001F0FF2">
        <w:rPr>
          <w:rFonts w:cs="Times New Roman"/>
        </w:rPr>
        <w:t>the Crime of Genocide</w:t>
      </w:r>
      <w:r w:rsidR="00292176">
        <w:rPr>
          <w:rFonts w:cs="Times New Roman"/>
        </w:rPr>
        <w:t>.</w:t>
      </w:r>
    </w:p>
  </w:footnote>
  <w:footnote w:id="19">
    <w:p w14:paraId="6909A2E8" w14:textId="4BB0F1C6" w:rsidR="00DF07A0" w:rsidRPr="001F0FF2" w:rsidRDefault="00DF07A0" w:rsidP="00C06674">
      <w:pPr>
        <w:pStyle w:val="Voetnoottekst"/>
        <w:jc w:val="both"/>
        <w:rPr>
          <w:rFonts w:cs="Times New Roman"/>
          <w:i/>
          <w:iCs/>
        </w:rPr>
      </w:pPr>
      <w:r w:rsidRPr="001F0FF2">
        <w:rPr>
          <w:rStyle w:val="Voetnootmarkering"/>
          <w:rFonts w:cs="Times New Roman"/>
        </w:rPr>
        <w:footnoteRef/>
      </w:r>
      <w:r w:rsidRPr="001F0FF2">
        <w:rPr>
          <w:rFonts w:cs="Times New Roman"/>
        </w:rPr>
        <w:t xml:space="preserve"> </w:t>
      </w:r>
      <w:r w:rsidR="00E74F42" w:rsidRPr="001F0FF2">
        <w:rPr>
          <w:rStyle w:val="Nadruk"/>
          <w:rFonts w:cs="Times New Roman"/>
        </w:rPr>
        <w:t>Prosecutor v Akayesu</w:t>
      </w:r>
      <w:r w:rsidR="00E74F42" w:rsidRPr="001F0FF2">
        <w:rPr>
          <w:rFonts w:cs="Times New Roman"/>
        </w:rPr>
        <w:t xml:space="preserve"> (Judgment) ICTR-96-4-T (2 September 1998) paras 500</w:t>
      </w:r>
      <w:r w:rsidR="00E74F42" w:rsidRPr="001F0FF2">
        <w:rPr>
          <w:rFonts w:cs="Times New Roman"/>
        </w:rPr>
        <w:t>-</w:t>
      </w:r>
      <w:r w:rsidR="00E74F42" w:rsidRPr="001F0FF2">
        <w:rPr>
          <w:rFonts w:cs="Times New Roman"/>
        </w:rPr>
        <w:t xml:space="preserve">501; </w:t>
      </w:r>
      <w:r w:rsidR="00E74F42" w:rsidRPr="001F0FF2">
        <w:rPr>
          <w:rStyle w:val="Nadruk"/>
          <w:rFonts w:cs="Times New Roman"/>
        </w:rPr>
        <w:t>Prosecutor v Kayishema and Ruzindana</w:t>
      </w:r>
      <w:r w:rsidR="00E74F42" w:rsidRPr="001F0FF2">
        <w:rPr>
          <w:rFonts w:cs="Times New Roman"/>
        </w:rPr>
        <w:t xml:space="preserve"> (Appeal Judgment) ICTR-95-1-A (1 June 2001) paras 89</w:t>
      </w:r>
      <w:r w:rsidR="00E74F42" w:rsidRPr="001F0FF2">
        <w:rPr>
          <w:rFonts w:cs="Times New Roman"/>
        </w:rPr>
        <w:t>-</w:t>
      </w:r>
      <w:r w:rsidR="00E74F42" w:rsidRPr="001F0FF2">
        <w:rPr>
          <w:rFonts w:cs="Times New Roman"/>
        </w:rPr>
        <w:t xml:space="preserve">91; </w:t>
      </w:r>
      <w:r w:rsidR="00E74F42" w:rsidRPr="001F0FF2">
        <w:rPr>
          <w:rStyle w:val="Nadruk"/>
          <w:rFonts w:cs="Times New Roman"/>
        </w:rPr>
        <w:t>Application of the Convention on the Prevention and Punishment of the Crime of Genocide (Bosnia and Herzegovina v Serbia and Montenegro)</w:t>
      </w:r>
      <w:r w:rsidR="00E74F42" w:rsidRPr="001F0FF2">
        <w:rPr>
          <w:rFonts w:cs="Times New Roman"/>
        </w:rPr>
        <w:t xml:space="preserve"> (Judgment) [2007] ICJ Rep 43, para 186; Olivier de Frouville, </w:t>
      </w:r>
      <w:r w:rsidR="00E74F42" w:rsidRPr="001F0FF2">
        <w:rPr>
          <w:rStyle w:val="Nadruk"/>
          <w:rFonts w:cs="Times New Roman"/>
        </w:rPr>
        <w:t>Droit international pénal</w:t>
      </w:r>
      <w:r w:rsidR="00E74F42" w:rsidRPr="001F0FF2">
        <w:rPr>
          <w:rFonts w:cs="Times New Roman"/>
        </w:rPr>
        <w:t xml:space="preserve"> (Pedone 2012) 85; Dimitrios Kourtis, </w:t>
      </w:r>
      <w:r w:rsidR="00E74F42" w:rsidRPr="001F0FF2">
        <w:rPr>
          <w:rStyle w:val="Nadruk"/>
          <w:rFonts w:cs="Times New Roman"/>
        </w:rPr>
        <w:t>Genocide and the Right to Exist</w:t>
      </w:r>
      <w:r w:rsidR="00E74F42" w:rsidRPr="001F0FF2">
        <w:rPr>
          <w:rFonts w:cs="Times New Roman"/>
        </w:rPr>
        <w:t xml:space="preserve"> (TMC Asser Press 2024) 108.</w:t>
      </w:r>
    </w:p>
  </w:footnote>
  <w:footnote w:id="20">
    <w:p w14:paraId="73707AD3" w14:textId="3E3658D3" w:rsidR="00DF07A0" w:rsidRPr="001F0FF2" w:rsidRDefault="00DF07A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E74F42" w:rsidRPr="001F0FF2">
        <w:rPr>
          <w:rFonts w:cs="Times New Roman"/>
        </w:rPr>
        <w:t xml:space="preserve">Rome Statute of the International Criminal Court (adopted 17 July 1998, entered into force 1 July 2002) 2187 UNTS 90 art 6; </w:t>
      </w:r>
      <w:r w:rsidR="00E74F42" w:rsidRPr="001F0FF2">
        <w:rPr>
          <w:rStyle w:val="Nadruk"/>
          <w:rFonts w:cs="Times New Roman"/>
        </w:rPr>
        <w:t>Perinçek v Switzerland</w:t>
      </w:r>
      <w:r w:rsidR="00E74F42" w:rsidRPr="001F0FF2">
        <w:rPr>
          <w:rFonts w:cs="Times New Roman"/>
        </w:rPr>
        <w:t xml:space="preserve"> App no 27510/08 (ECtHR, 15 October 2015) paras 114</w:t>
      </w:r>
      <w:r w:rsidR="00E74F42" w:rsidRPr="001F0FF2">
        <w:rPr>
          <w:rFonts w:cs="Times New Roman"/>
        </w:rPr>
        <w:t>-</w:t>
      </w:r>
      <w:r w:rsidR="00E74F42" w:rsidRPr="001F0FF2">
        <w:rPr>
          <w:rFonts w:cs="Times New Roman"/>
        </w:rPr>
        <w:t xml:space="preserve">17; </w:t>
      </w:r>
      <w:r w:rsidR="00E74F42" w:rsidRPr="001F0FF2">
        <w:rPr>
          <w:rStyle w:val="Nadruk"/>
          <w:rFonts w:cs="Times New Roman"/>
        </w:rPr>
        <w:t>Vasiliauskas v Lithuania</w:t>
      </w:r>
      <w:r w:rsidR="00E74F42" w:rsidRPr="001F0FF2">
        <w:rPr>
          <w:rFonts w:cs="Times New Roman"/>
        </w:rPr>
        <w:t xml:space="preserve"> App no 35343/05 (ECtHR, 20 October 2015) paras 175</w:t>
      </w:r>
      <w:r w:rsidR="00E74F42" w:rsidRPr="001F0FF2">
        <w:rPr>
          <w:rFonts w:cs="Times New Roman"/>
        </w:rPr>
        <w:t>-</w:t>
      </w:r>
      <w:r w:rsidR="00E74F42" w:rsidRPr="001F0FF2">
        <w:rPr>
          <w:rFonts w:cs="Times New Roman"/>
        </w:rPr>
        <w:t xml:space="preserve">77; William A Schabas, </w:t>
      </w:r>
      <w:r w:rsidR="00E74F42" w:rsidRPr="001F0FF2">
        <w:rPr>
          <w:rStyle w:val="Nadruk"/>
          <w:rFonts w:cs="Times New Roman"/>
        </w:rPr>
        <w:t>Genocide in International Law</w:t>
      </w:r>
      <w:r w:rsidR="00E74F42" w:rsidRPr="001F0FF2">
        <w:rPr>
          <w:rFonts w:cs="Times New Roman"/>
        </w:rPr>
        <w:t xml:space="preserve"> (3rd edn, Cambridge University Press 2025) 176.</w:t>
      </w:r>
    </w:p>
  </w:footnote>
  <w:footnote w:id="21">
    <w:p w14:paraId="31BB7CD8" w14:textId="70558686" w:rsidR="00DF07A0" w:rsidRPr="001F0FF2" w:rsidRDefault="00DF07A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E74F42" w:rsidRPr="001F0FF2">
        <w:rPr>
          <w:rFonts w:cs="Times New Roman"/>
        </w:rPr>
        <w:t>Convention on the Prevention and Punishment of the Crime of Genocide (adopted 9 December 1948, entered into force 12 January 1951) 78 UNTS 277 art II.</w:t>
      </w:r>
    </w:p>
  </w:footnote>
  <w:footnote w:id="22">
    <w:p w14:paraId="44A29022" w14:textId="040FA17F" w:rsidR="00143EC0" w:rsidRPr="001F0FF2" w:rsidRDefault="00143EC0" w:rsidP="00C06674">
      <w:pPr>
        <w:spacing w:after="0"/>
        <w:ind w:left="23"/>
        <w:jc w:val="both"/>
        <w:rPr>
          <w:sz w:val="20"/>
          <w:szCs w:val="20"/>
        </w:rPr>
      </w:pPr>
      <w:r w:rsidRPr="001F0FF2">
        <w:rPr>
          <w:rStyle w:val="Voetnootmarkering"/>
          <w:sz w:val="20"/>
          <w:szCs w:val="20"/>
        </w:rPr>
        <w:footnoteRef/>
      </w:r>
      <w:r w:rsidRPr="001F0FF2">
        <w:rPr>
          <w:sz w:val="20"/>
          <w:szCs w:val="20"/>
        </w:rPr>
        <w:t xml:space="preserve"> </w:t>
      </w:r>
      <w:r w:rsidR="00E74F42" w:rsidRPr="001F0FF2">
        <w:rPr>
          <w:sz w:val="20"/>
          <w:szCs w:val="20"/>
        </w:rPr>
        <w:t xml:space="preserve">Convention on the Prevention and </w:t>
      </w:r>
      <w:proofErr w:type="spellStart"/>
      <w:r w:rsidR="00E74F42" w:rsidRPr="001F0FF2">
        <w:rPr>
          <w:sz w:val="20"/>
          <w:szCs w:val="20"/>
        </w:rPr>
        <w:t>Punishment</w:t>
      </w:r>
      <w:proofErr w:type="spellEnd"/>
      <w:r w:rsidR="00E74F42" w:rsidRPr="001F0FF2">
        <w:rPr>
          <w:sz w:val="20"/>
          <w:szCs w:val="20"/>
        </w:rPr>
        <w:t xml:space="preserve"> of the Crime of </w:t>
      </w:r>
      <w:proofErr w:type="spellStart"/>
      <w:r w:rsidR="00E74F42" w:rsidRPr="001F0FF2">
        <w:rPr>
          <w:sz w:val="20"/>
          <w:szCs w:val="20"/>
        </w:rPr>
        <w:t>Genocide</w:t>
      </w:r>
      <w:proofErr w:type="spellEnd"/>
      <w:r w:rsidR="00E74F42" w:rsidRPr="001F0FF2">
        <w:rPr>
          <w:sz w:val="20"/>
          <w:szCs w:val="20"/>
        </w:rPr>
        <w:t xml:space="preserve"> (</w:t>
      </w:r>
      <w:proofErr w:type="spellStart"/>
      <w:r w:rsidR="00E74F42" w:rsidRPr="001F0FF2">
        <w:rPr>
          <w:sz w:val="20"/>
          <w:szCs w:val="20"/>
        </w:rPr>
        <w:t>adopted</w:t>
      </w:r>
      <w:proofErr w:type="spellEnd"/>
      <w:r w:rsidR="00E74F42" w:rsidRPr="001F0FF2">
        <w:rPr>
          <w:sz w:val="20"/>
          <w:szCs w:val="20"/>
        </w:rPr>
        <w:t xml:space="preserve"> 9 December 1948, </w:t>
      </w:r>
      <w:proofErr w:type="spellStart"/>
      <w:r w:rsidR="00E74F42" w:rsidRPr="001F0FF2">
        <w:rPr>
          <w:sz w:val="20"/>
          <w:szCs w:val="20"/>
        </w:rPr>
        <w:t>entered</w:t>
      </w:r>
      <w:proofErr w:type="spellEnd"/>
      <w:r w:rsidR="00E74F42" w:rsidRPr="001F0FF2">
        <w:rPr>
          <w:sz w:val="20"/>
          <w:szCs w:val="20"/>
        </w:rPr>
        <w:t xml:space="preserve"> </w:t>
      </w:r>
      <w:proofErr w:type="spellStart"/>
      <w:r w:rsidR="00E74F42" w:rsidRPr="001F0FF2">
        <w:rPr>
          <w:sz w:val="20"/>
          <w:szCs w:val="20"/>
        </w:rPr>
        <w:t>into</w:t>
      </w:r>
      <w:proofErr w:type="spellEnd"/>
      <w:r w:rsidR="00E74F42" w:rsidRPr="001F0FF2">
        <w:rPr>
          <w:sz w:val="20"/>
          <w:szCs w:val="20"/>
        </w:rPr>
        <w:t xml:space="preserve"> force 12 January 1951) 78 UNTS 277 art II(c); David L Nersessian, </w:t>
      </w:r>
      <w:proofErr w:type="spellStart"/>
      <w:r w:rsidR="00E74F42" w:rsidRPr="001F0FF2">
        <w:rPr>
          <w:i/>
          <w:iCs/>
          <w:sz w:val="20"/>
          <w:szCs w:val="20"/>
        </w:rPr>
        <w:t>Genocide</w:t>
      </w:r>
      <w:proofErr w:type="spellEnd"/>
      <w:r w:rsidR="00E74F42" w:rsidRPr="001F0FF2">
        <w:rPr>
          <w:i/>
          <w:iCs/>
          <w:sz w:val="20"/>
          <w:szCs w:val="20"/>
        </w:rPr>
        <w:t xml:space="preserve"> and </w:t>
      </w:r>
      <w:proofErr w:type="spellStart"/>
      <w:r w:rsidR="00E74F42" w:rsidRPr="001F0FF2">
        <w:rPr>
          <w:i/>
          <w:iCs/>
          <w:sz w:val="20"/>
          <w:szCs w:val="20"/>
        </w:rPr>
        <w:t>Political</w:t>
      </w:r>
      <w:proofErr w:type="spellEnd"/>
      <w:r w:rsidR="00E74F42" w:rsidRPr="001F0FF2">
        <w:rPr>
          <w:i/>
          <w:iCs/>
          <w:sz w:val="20"/>
          <w:szCs w:val="20"/>
        </w:rPr>
        <w:t xml:space="preserve"> Groups</w:t>
      </w:r>
      <w:r w:rsidR="00E74F42" w:rsidRPr="001F0FF2">
        <w:rPr>
          <w:sz w:val="20"/>
          <w:szCs w:val="20"/>
        </w:rPr>
        <w:t xml:space="preserve"> (Oxford </w:t>
      </w:r>
      <w:proofErr w:type="spellStart"/>
      <w:r w:rsidR="00E74F42" w:rsidRPr="001F0FF2">
        <w:rPr>
          <w:sz w:val="20"/>
          <w:szCs w:val="20"/>
        </w:rPr>
        <w:t>University</w:t>
      </w:r>
      <w:proofErr w:type="spellEnd"/>
      <w:r w:rsidR="00E74F42" w:rsidRPr="001F0FF2">
        <w:rPr>
          <w:sz w:val="20"/>
          <w:szCs w:val="20"/>
        </w:rPr>
        <w:t xml:space="preserve"> Press 2010) 7.</w:t>
      </w:r>
    </w:p>
  </w:footnote>
  <w:footnote w:id="23">
    <w:p w14:paraId="53C2159E" w14:textId="43C816EB" w:rsidR="008736D8" w:rsidRPr="001F0FF2" w:rsidRDefault="008736D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proofErr w:type="spellStart"/>
      <w:r w:rsidR="00E74F42" w:rsidRPr="001F0FF2">
        <w:rPr>
          <w:rFonts w:cs="Times New Roman"/>
          <w:i/>
          <w:iCs/>
          <w:lang w:val="fr-BE"/>
        </w:rPr>
        <w:t>Prosecutor</w:t>
      </w:r>
      <w:proofErr w:type="spellEnd"/>
      <w:r w:rsidR="00E74F42" w:rsidRPr="001F0FF2">
        <w:rPr>
          <w:rFonts w:cs="Times New Roman"/>
          <w:i/>
          <w:iCs/>
          <w:lang w:val="fr-BE"/>
        </w:rPr>
        <w:t xml:space="preserve"> v Akayesu</w:t>
      </w:r>
      <w:r w:rsidR="00E74F42" w:rsidRPr="001F0FF2">
        <w:rPr>
          <w:rFonts w:cs="Times New Roman"/>
          <w:lang w:val="fr-BE"/>
        </w:rPr>
        <w:t xml:space="preserve"> (</w:t>
      </w:r>
      <w:proofErr w:type="spellStart"/>
      <w:r w:rsidR="00E74F42" w:rsidRPr="001F0FF2">
        <w:rPr>
          <w:rFonts w:cs="Times New Roman"/>
          <w:lang w:val="fr-BE"/>
        </w:rPr>
        <w:t>Judgment</w:t>
      </w:r>
      <w:proofErr w:type="spellEnd"/>
      <w:r w:rsidR="00E74F42" w:rsidRPr="001F0FF2">
        <w:rPr>
          <w:rFonts w:cs="Times New Roman"/>
          <w:lang w:val="fr-BE"/>
        </w:rPr>
        <w:t>) ICTR-96-4-T (2 September 1998) paras 505</w:t>
      </w:r>
      <w:r w:rsidR="00E74F42" w:rsidRPr="001F0FF2">
        <w:rPr>
          <w:rFonts w:cs="Times New Roman"/>
          <w:lang w:val="fr-BE"/>
        </w:rPr>
        <w:t>-</w:t>
      </w:r>
      <w:r w:rsidR="00E74F42" w:rsidRPr="001F0FF2">
        <w:rPr>
          <w:rFonts w:cs="Times New Roman"/>
          <w:lang w:val="fr-BE"/>
        </w:rPr>
        <w:t xml:space="preserve">506; </w:t>
      </w:r>
      <w:r w:rsidR="00E74F42" w:rsidRPr="001F0FF2">
        <w:rPr>
          <w:rFonts w:cs="Times New Roman"/>
          <w:i/>
          <w:iCs/>
          <w:lang w:val="fr-BE"/>
        </w:rPr>
        <w:t xml:space="preserve">Application of the Convention on the Prevention and </w:t>
      </w:r>
      <w:proofErr w:type="spellStart"/>
      <w:r w:rsidR="00E74F42" w:rsidRPr="001F0FF2">
        <w:rPr>
          <w:rFonts w:cs="Times New Roman"/>
          <w:i/>
          <w:iCs/>
          <w:lang w:val="fr-BE"/>
        </w:rPr>
        <w:t>Punishment</w:t>
      </w:r>
      <w:proofErr w:type="spellEnd"/>
      <w:r w:rsidR="00E74F42" w:rsidRPr="001F0FF2">
        <w:rPr>
          <w:rFonts w:cs="Times New Roman"/>
          <w:i/>
          <w:iCs/>
          <w:lang w:val="fr-BE"/>
        </w:rPr>
        <w:t xml:space="preserve"> of the Crime of </w:t>
      </w:r>
      <w:proofErr w:type="spellStart"/>
      <w:r w:rsidR="00E74F42" w:rsidRPr="001F0FF2">
        <w:rPr>
          <w:rFonts w:cs="Times New Roman"/>
          <w:i/>
          <w:iCs/>
          <w:lang w:val="fr-BE"/>
        </w:rPr>
        <w:t>Genocide</w:t>
      </w:r>
      <w:proofErr w:type="spellEnd"/>
      <w:r w:rsidR="00E74F42" w:rsidRPr="001F0FF2">
        <w:rPr>
          <w:rFonts w:cs="Times New Roman"/>
          <w:i/>
          <w:iCs/>
          <w:lang w:val="fr-BE"/>
        </w:rPr>
        <w:t xml:space="preserve"> (</w:t>
      </w:r>
      <w:proofErr w:type="spellStart"/>
      <w:r w:rsidR="00E74F42" w:rsidRPr="001F0FF2">
        <w:rPr>
          <w:rFonts w:cs="Times New Roman"/>
          <w:i/>
          <w:iCs/>
          <w:lang w:val="fr-BE"/>
        </w:rPr>
        <w:t>Croatia</w:t>
      </w:r>
      <w:proofErr w:type="spellEnd"/>
      <w:r w:rsidR="00E74F42" w:rsidRPr="001F0FF2">
        <w:rPr>
          <w:rFonts w:cs="Times New Roman"/>
          <w:i/>
          <w:iCs/>
          <w:lang w:val="fr-BE"/>
        </w:rPr>
        <w:t xml:space="preserve"> v Serbia)</w:t>
      </w:r>
      <w:r w:rsidR="00E74F42" w:rsidRPr="001F0FF2">
        <w:rPr>
          <w:rFonts w:cs="Times New Roman"/>
          <w:lang w:val="fr-BE"/>
        </w:rPr>
        <w:t xml:space="preserve"> (</w:t>
      </w:r>
      <w:proofErr w:type="spellStart"/>
      <w:r w:rsidR="00E74F42" w:rsidRPr="001F0FF2">
        <w:rPr>
          <w:rFonts w:cs="Times New Roman"/>
          <w:lang w:val="fr-BE"/>
        </w:rPr>
        <w:t>Judgment</w:t>
      </w:r>
      <w:proofErr w:type="spellEnd"/>
      <w:r w:rsidR="00E74F42" w:rsidRPr="001F0FF2">
        <w:rPr>
          <w:rFonts w:cs="Times New Roman"/>
          <w:lang w:val="fr-BE"/>
        </w:rPr>
        <w:t>) [2015] ICJ Rep 3, para 161.</w:t>
      </w:r>
    </w:p>
  </w:footnote>
  <w:footnote w:id="24">
    <w:p w14:paraId="53675384" w14:textId="4AFA321E" w:rsidR="00BD3E6B" w:rsidRPr="001F0FF2" w:rsidRDefault="00BD3E6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Svetah Chakhmakhchyan and Edgar Meyroyan, ‘Slow-Burn Destruction: Reading “Conditions of Life” into Twenty-First Century Genocide’ (2025) 10 </w:t>
      </w:r>
      <w:r w:rsidRPr="001F0FF2">
        <w:rPr>
          <w:rStyle w:val="Nadruk"/>
          <w:rFonts w:cs="Times New Roman"/>
        </w:rPr>
        <w:t>International Journal of Armenian Genocide Studies</w:t>
      </w:r>
      <w:r w:rsidRPr="001F0FF2">
        <w:rPr>
          <w:rFonts w:cs="Times New Roman"/>
        </w:rPr>
        <w:t xml:space="preserve"> 102.</w:t>
      </w:r>
    </w:p>
  </w:footnote>
  <w:footnote w:id="25">
    <w:p w14:paraId="6352E049" w14:textId="254BF235" w:rsidR="00281EE3" w:rsidRPr="001F0FF2" w:rsidRDefault="00281EE3"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E74F42" w:rsidRPr="001F0FF2">
        <w:rPr>
          <w:rFonts w:cs="Times New Roman"/>
        </w:rPr>
        <w:t xml:space="preserve">Convention on the Prevention and Punishment of the Crime of Genocide (adopted 9 December 1948, entered into force 12 January 1951) 78 UNTS 277 art II; </w:t>
      </w:r>
      <w:r w:rsidR="00E74F42" w:rsidRPr="001F0FF2">
        <w:rPr>
          <w:rFonts w:cs="Times New Roman"/>
          <w:i/>
          <w:iCs/>
        </w:rPr>
        <w:t>Application of the Convention on the Prevention and Punishment of the Crime of Genocide</w:t>
      </w:r>
      <w:r w:rsidR="00E74F42" w:rsidRPr="001F0FF2">
        <w:rPr>
          <w:rFonts w:cs="Times New Roman"/>
        </w:rPr>
        <w:t xml:space="preserve"> (Preliminary Objections) [1996] ICJ Rep 595, para 31; Antonio Cassese, Guido Acquaviva, Mary Fan and Alex Whiting, </w:t>
      </w:r>
      <w:r w:rsidR="00E74F42" w:rsidRPr="001F0FF2">
        <w:rPr>
          <w:rFonts w:cs="Times New Roman"/>
          <w:i/>
          <w:iCs/>
        </w:rPr>
        <w:t>International Criminal Law: Cases &amp; Commentary</w:t>
      </w:r>
      <w:r w:rsidR="00E74F42" w:rsidRPr="001F0FF2">
        <w:rPr>
          <w:rFonts w:cs="Times New Roman"/>
        </w:rPr>
        <w:t xml:space="preserve"> (Oxford University Press 2011) 210.</w:t>
      </w:r>
    </w:p>
  </w:footnote>
  <w:footnote w:id="26">
    <w:p w14:paraId="19B8A383" w14:textId="52D65248" w:rsidR="00854F05" w:rsidRPr="001F0FF2" w:rsidRDefault="00854F05" w:rsidP="00C06674">
      <w:pPr>
        <w:pStyle w:val="Voetnoottekst"/>
        <w:jc w:val="both"/>
        <w:rPr>
          <w:rFonts w:cs="Times New Roman"/>
          <w:i/>
          <w:iCs/>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C. TOURNAYE, “Genocidal Intent before the ICTY”, </w:t>
      </w:r>
      <w:r w:rsidRPr="001F0FF2">
        <w:rPr>
          <w:rFonts w:cs="Times New Roman"/>
          <w:i/>
          <w:iCs/>
        </w:rPr>
        <w:t>Int’l and comparative law quartelt</w:t>
      </w:r>
      <w:r w:rsidRPr="001F0FF2">
        <w:rPr>
          <w:rFonts w:cs="Times New Roman"/>
        </w:rPr>
        <w:t>, 2003, 449-450.</w:t>
      </w:r>
    </w:p>
  </w:footnote>
  <w:footnote w:id="27">
    <w:p w14:paraId="3D49FA42" w14:textId="622BABF7" w:rsidR="00633555" w:rsidRPr="001F0FF2" w:rsidRDefault="0063355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Style w:val="Nadruk"/>
          <w:rFonts w:cs="Times New Roman"/>
        </w:rPr>
        <w:t>Prosecutor v Akayesu</w:t>
      </w:r>
      <w:r w:rsidR="00B819CD" w:rsidRPr="001F0FF2">
        <w:rPr>
          <w:rFonts w:cs="Times New Roman"/>
        </w:rPr>
        <w:t xml:space="preserve"> (Judgment) ICTR-96-4-T (2 September 1998) paras 498, 517</w:t>
      </w:r>
      <w:r w:rsidR="00B819CD" w:rsidRPr="001F0FF2">
        <w:rPr>
          <w:rFonts w:cs="Times New Roman"/>
        </w:rPr>
        <w:t>-</w:t>
      </w:r>
      <w:r w:rsidR="00B819CD" w:rsidRPr="001F0FF2">
        <w:rPr>
          <w:rFonts w:cs="Times New Roman"/>
        </w:rPr>
        <w:t xml:space="preserve">518; </w:t>
      </w:r>
      <w:r w:rsidR="00B819CD" w:rsidRPr="001F0FF2">
        <w:rPr>
          <w:rStyle w:val="Nadruk"/>
          <w:rFonts w:cs="Times New Roman"/>
        </w:rPr>
        <w:t>Prosecutor v Rutaganda</w:t>
      </w:r>
      <w:r w:rsidR="00B819CD" w:rsidRPr="001F0FF2">
        <w:rPr>
          <w:rFonts w:cs="Times New Roman"/>
        </w:rPr>
        <w:t xml:space="preserve"> (Judgment and Sentence) ICTR-96-3-T (6 December 1999) para 59; </w:t>
      </w:r>
      <w:r w:rsidR="00B819CD" w:rsidRPr="001F0FF2">
        <w:rPr>
          <w:rStyle w:val="Nadruk"/>
          <w:rFonts w:cs="Times New Roman"/>
        </w:rPr>
        <w:t>Prosecutor v Musema</w:t>
      </w:r>
      <w:r w:rsidR="00B819CD" w:rsidRPr="001F0FF2">
        <w:rPr>
          <w:rFonts w:cs="Times New Roman"/>
        </w:rPr>
        <w:t xml:space="preserve"> (Judgment and Sentence) ICTR-96-13-T (27 January 2000) para 164; </w:t>
      </w:r>
      <w:r w:rsidR="00B819CD" w:rsidRPr="001F0FF2">
        <w:rPr>
          <w:rStyle w:val="Nadruk"/>
          <w:rFonts w:cs="Times New Roman"/>
        </w:rPr>
        <w:t>Prosecutor v Jelisić</w:t>
      </w:r>
      <w:r w:rsidR="00B819CD" w:rsidRPr="001F0FF2">
        <w:rPr>
          <w:rFonts w:cs="Times New Roman"/>
        </w:rPr>
        <w:t xml:space="preserve"> (Appeal Judgment) IT-95-10-A (5 July 2001) para 46; </w:t>
      </w:r>
      <w:r w:rsidR="00B819CD" w:rsidRPr="001F0FF2">
        <w:rPr>
          <w:rStyle w:val="Nadruk"/>
          <w:rFonts w:cs="Times New Roman"/>
        </w:rPr>
        <w:t>Prosecutor v Krstić</w:t>
      </w:r>
      <w:r w:rsidR="00B819CD" w:rsidRPr="001F0FF2">
        <w:rPr>
          <w:rFonts w:cs="Times New Roman"/>
        </w:rPr>
        <w:t xml:space="preserve"> (Judgment) IT-98-33-T (2 August 2001) para 571; Antonio Cassese, Guido Acquaviva, Mary Fan and Alex Whiting, </w:t>
      </w:r>
      <w:r w:rsidR="00B819CD" w:rsidRPr="001F0FF2">
        <w:rPr>
          <w:rStyle w:val="Nadruk"/>
          <w:rFonts w:cs="Times New Roman"/>
        </w:rPr>
        <w:t>International Criminal Law: Cases &amp; Commentary</w:t>
      </w:r>
      <w:r w:rsidR="00B819CD" w:rsidRPr="001F0FF2">
        <w:rPr>
          <w:rFonts w:cs="Times New Roman"/>
        </w:rPr>
        <w:t xml:space="preserve"> (Oxford University Press 2011) 209; Caroline Tournaye, ‘Genocidal Intent before the ICTY’ (2003) 52 </w:t>
      </w:r>
      <w:r w:rsidR="00B819CD" w:rsidRPr="001F0FF2">
        <w:rPr>
          <w:rStyle w:val="Nadruk"/>
          <w:rFonts w:cs="Times New Roman"/>
        </w:rPr>
        <w:t>International and Comparative Law Quarterly</w:t>
      </w:r>
      <w:r w:rsidR="00B819CD" w:rsidRPr="001F0FF2">
        <w:rPr>
          <w:rFonts w:cs="Times New Roman"/>
        </w:rPr>
        <w:t xml:space="preserve"> 447, 449–50; David Luban, ‘A Theory of Crimes Against Humanity’ (2010) 29 </w:t>
      </w:r>
      <w:r w:rsidR="00B819CD" w:rsidRPr="001F0FF2">
        <w:rPr>
          <w:rStyle w:val="Nadruk"/>
          <w:rFonts w:cs="Times New Roman"/>
        </w:rPr>
        <w:t>Yale Journal of International Law</w:t>
      </w:r>
      <w:r w:rsidR="00B819CD" w:rsidRPr="001F0FF2">
        <w:rPr>
          <w:rFonts w:cs="Times New Roman"/>
        </w:rPr>
        <w:t xml:space="preserve"> 85, 97.</w:t>
      </w:r>
    </w:p>
  </w:footnote>
  <w:footnote w:id="28">
    <w:p w14:paraId="1305CFF9" w14:textId="3932235A" w:rsidR="006A77F9" w:rsidRPr="001F0FF2" w:rsidRDefault="006A77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Kai Ambos, </w:t>
      </w:r>
      <w:r w:rsidRPr="001F0FF2">
        <w:rPr>
          <w:rStyle w:val="Nadruk"/>
          <w:rFonts w:cs="Times New Roman"/>
        </w:rPr>
        <w:t>Treatise on International Criminal Law: Volume II: The Crimes and Sentencing</w:t>
      </w:r>
      <w:r w:rsidRPr="001F0FF2">
        <w:rPr>
          <w:rFonts w:cs="Times New Roman"/>
        </w:rPr>
        <w:t xml:space="preserve"> (Oxford University Press 2022), 18.</w:t>
      </w:r>
    </w:p>
  </w:footnote>
  <w:footnote w:id="29">
    <w:p w14:paraId="24301629" w14:textId="683CFE47" w:rsidR="000A4DAB" w:rsidRPr="001F0FF2" w:rsidRDefault="000A4DA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Rome Statute of the International Criminal Court (adopted 17 July 1998, entered into force 1 July 2002) 2187 UNTS 90 art 6; </w:t>
      </w:r>
      <w:r w:rsidR="00B819CD" w:rsidRPr="001F0FF2">
        <w:rPr>
          <w:rStyle w:val="Nadruk"/>
          <w:rFonts w:cs="Times New Roman"/>
        </w:rPr>
        <w:t>Perinçek v Switzerland</w:t>
      </w:r>
      <w:r w:rsidR="00B819CD" w:rsidRPr="001F0FF2">
        <w:rPr>
          <w:rFonts w:cs="Times New Roman"/>
        </w:rPr>
        <w:t xml:space="preserve"> App no 27510/08 (ECtHR, 15 October 2015) paras 114–17; </w:t>
      </w:r>
      <w:r w:rsidR="00B819CD" w:rsidRPr="001F0FF2">
        <w:rPr>
          <w:rStyle w:val="Nadruk"/>
          <w:rFonts w:cs="Times New Roman"/>
        </w:rPr>
        <w:t>Vasiliauskas v Lithuania</w:t>
      </w:r>
      <w:r w:rsidR="00B819CD" w:rsidRPr="001F0FF2">
        <w:rPr>
          <w:rFonts w:cs="Times New Roman"/>
        </w:rPr>
        <w:t xml:space="preserve"> App no 35343/05 (ECtHR, 20 October 2015) paras 175–77; William A Schabas, </w:t>
      </w:r>
      <w:r w:rsidR="00B819CD" w:rsidRPr="001F0FF2">
        <w:rPr>
          <w:rStyle w:val="Nadruk"/>
          <w:rFonts w:cs="Times New Roman"/>
        </w:rPr>
        <w:t>Genocide in International Law</w:t>
      </w:r>
      <w:r w:rsidR="00B819CD" w:rsidRPr="001F0FF2">
        <w:rPr>
          <w:rFonts w:cs="Times New Roman"/>
        </w:rPr>
        <w:t xml:space="preserve"> (3rd edn, Cambridge University Press 2025) 176.</w:t>
      </w:r>
    </w:p>
  </w:footnote>
  <w:footnote w:id="30">
    <w:p w14:paraId="6A662C90" w14:textId="3A425044" w:rsidR="000A4DAB" w:rsidRPr="001F0FF2" w:rsidRDefault="000A4DAB" w:rsidP="00C06674">
      <w:pPr>
        <w:pStyle w:val="Voetnoottekst"/>
        <w:jc w:val="both"/>
        <w:rPr>
          <w:rFonts w:cs="Times New Roman"/>
          <w:i/>
          <w:iCs/>
        </w:rPr>
      </w:pPr>
      <w:r w:rsidRPr="001F0FF2">
        <w:rPr>
          <w:rStyle w:val="Voetnootmarkering"/>
          <w:rFonts w:cs="Times New Roman"/>
        </w:rPr>
        <w:footnoteRef/>
      </w:r>
      <w:r w:rsidRPr="001F0FF2">
        <w:rPr>
          <w:rFonts w:cs="Times New Roman"/>
        </w:rPr>
        <w:t xml:space="preserve"> </w:t>
      </w:r>
      <w:r w:rsidR="00B819CD" w:rsidRPr="001F0FF2">
        <w:rPr>
          <w:rStyle w:val="Nadruk"/>
          <w:rFonts w:cs="Times New Roman"/>
        </w:rPr>
        <w:t>Application of the Convention on the Prevention and Punishment of the Crime of Genocide (Bosnia and Herzegovina v Serbia and Montenegro)</w:t>
      </w:r>
      <w:r w:rsidR="00B819CD" w:rsidRPr="001F0FF2">
        <w:rPr>
          <w:rFonts w:cs="Times New Roman"/>
        </w:rPr>
        <w:t xml:space="preserve"> (Judgment) [2007] ICJ Rep 43, para 161; Yvonne Tan, </w:t>
      </w:r>
      <w:r w:rsidR="00B819CD" w:rsidRPr="001F0FF2">
        <w:rPr>
          <w:rStyle w:val="Nadruk"/>
          <w:rFonts w:cs="Times New Roman"/>
        </w:rPr>
        <w:t>The Rome Statute as Evidence of Customary International Law</w:t>
      </w:r>
      <w:r w:rsidR="00B819CD" w:rsidRPr="001F0FF2">
        <w:rPr>
          <w:rFonts w:cs="Times New Roman"/>
        </w:rPr>
        <w:t xml:space="preserve"> (Meijers-reeks 2019) 11; Leila Nadya Sadat and Richard Carden, ‘The New International Criminal Court: An Uneasy Revolution’ (1999) 88 </w:t>
      </w:r>
      <w:r w:rsidR="00B819CD" w:rsidRPr="001F0FF2">
        <w:rPr>
          <w:rStyle w:val="Nadruk"/>
          <w:rFonts w:cs="Times New Roman"/>
        </w:rPr>
        <w:t>Georgetown Law Journal</w:t>
      </w:r>
      <w:r w:rsidR="00B819CD" w:rsidRPr="001F0FF2">
        <w:rPr>
          <w:rFonts w:cs="Times New Roman"/>
        </w:rPr>
        <w:t xml:space="preserve"> 381, 423; Philippe Kirsch, ‘Foreword’ in Knut Dörmann (ed), </w:t>
      </w:r>
      <w:r w:rsidR="00B819CD" w:rsidRPr="001F0FF2">
        <w:rPr>
          <w:rStyle w:val="Nadruk"/>
          <w:rFonts w:cs="Times New Roman"/>
        </w:rPr>
        <w:t>Elements of War Crimes under the Rome Statute of the International Criminal Court: Sources and Commentary</w:t>
      </w:r>
      <w:r w:rsidR="00B819CD" w:rsidRPr="001F0FF2">
        <w:rPr>
          <w:rFonts w:cs="Times New Roman"/>
        </w:rPr>
        <w:t xml:space="preserve"> (Cambridge University Press 2003) xiii.</w:t>
      </w:r>
    </w:p>
  </w:footnote>
  <w:footnote w:id="31">
    <w:p w14:paraId="207B5CE0" w14:textId="48FBE917" w:rsidR="00EB4628" w:rsidRPr="001F0FF2" w:rsidRDefault="00EB4628"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Statute of the International Court of Justice (adopted 26 June 1945, entered into force 24 October 1945) 1 UNTS XVI art 38; </w:t>
      </w:r>
      <w:r w:rsidR="00B819CD" w:rsidRPr="001F0FF2">
        <w:rPr>
          <w:rFonts w:cs="Times New Roman"/>
          <w:i/>
          <w:iCs/>
        </w:rPr>
        <w:t>North Sea Continental Shelf Cases (Federal Republic of Germany v Denmark; Federal Republic of Germany v Netherlands)</w:t>
      </w:r>
      <w:r w:rsidR="00B819CD" w:rsidRPr="001F0FF2">
        <w:rPr>
          <w:rFonts w:cs="Times New Roman"/>
        </w:rPr>
        <w:t xml:space="preserve"> (Judgment) [1969] ICJ Rep 3, paras 73</w:t>
      </w:r>
      <w:r w:rsidR="00B819CD" w:rsidRPr="001F0FF2">
        <w:rPr>
          <w:rFonts w:cs="Times New Roman"/>
        </w:rPr>
        <w:t>-</w:t>
      </w:r>
      <w:r w:rsidR="00B819CD" w:rsidRPr="001F0FF2">
        <w:rPr>
          <w:rFonts w:cs="Times New Roman"/>
        </w:rPr>
        <w:t xml:space="preserve">74; </w:t>
      </w:r>
      <w:r w:rsidR="00B819CD" w:rsidRPr="001F0FF2">
        <w:rPr>
          <w:rFonts w:cs="Times New Roman"/>
          <w:i/>
          <w:iCs/>
        </w:rPr>
        <w:t>Military and Paramilitary Activities in and against Nicaragua (Nicaragua v United States of America)</w:t>
      </w:r>
      <w:r w:rsidR="00B819CD" w:rsidRPr="001F0FF2">
        <w:rPr>
          <w:rFonts w:cs="Times New Roman"/>
        </w:rPr>
        <w:t xml:space="preserve"> (Merits) [1986] ICJ Rep 14, paras 183</w:t>
      </w:r>
      <w:r w:rsidR="00B819CD" w:rsidRPr="001F0FF2">
        <w:rPr>
          <w:rFonts w:cs="Times New Roman"/>
        </w:rPr>
        <w:t>-</w:t>
      </w:r>
      <w:r w:rsidR="00B819CD" w:rsidRPr="001F0FF2">
        <w:rPr>
          <w:rFonts w:cs="Times New Roman"/>
        </w:rPr>
        <w:t xml:space="preserve">186; </w:t>
      </w:r>
      <w:r w:rsidR="00B819CD" w:rsidRPr="001F0FF2">
        <w:rPr>
          <w:rFonts w:cs="Times New Roman"/>
          <w:i/>
          <w:iCs/>
        </w:rPr>
        <w:t>The Case of the S.S. Lotus (France v Turkey)</w:t>
      </w:r>
      <w:r w:rsidR="00B819CD" w:rsidRPr="001F0FF2">
        <w:rPr>
          <w:rFonts w:cs="Times New Roman"/>
        </w:rPr>
        <w:t xml:space="preserve"> (Judgment) PCIJ Rep Series A No 10, para 28; </w:t>
      </w:r>
      <w:r w:rsidR="00B819CD" w:rsidRPr="001F0FF2">
        <w:rPr>
          <w:rFonts w:cs="Times New Roman"/>
          <w:i/>
          <w:iCs/>
        </w:rPr>
        <w:t>Fisheries Case (United Kingdom v Norway)</w:t>
      </w:r>
      <w:r w:rsidR="00B819CD" w:rsidRPr="001F0FF2">
        <w:rPr>
          <w:rFonts w:cs="Times New Roman"/>
        </w:rPr>
        <w:t xml:space="preserve"> (Judgment) [1951] ICJ Rep 116, paras 131</w:t>
      </w:r>
      <w:r w:rsidR="00B819CD" w:rsidRPr="001F0FF2">
        <w:rPr>
          <w:rFonts w:cs="Times New Roman"/>
        </w:rPr>
        <w:t>-1</w:t>
      </w:r>
      <w:r w:rsidR="00B819CD" w:rsidRPr="001F0FF2">
        <w:rPr>
          <w:rFonts w:cs="Times New Roman"/>
        </w:rPr>
        <w:t xml:space="preserve">32; Martin Dixon, </w:t>
      </w:r>
      <w:r w:rsidR="00B819CD" w:rsidRPr="001F0FF2">
        <w:rPr>
          <w:rFonts w:cs="Times New Roman"/>
          <w:i/>
          <w:iCs/>
        </w:rPr>
        <w:t>Textbook on International Law</w:t>
      </w:r>
      <w:r w:rsidR="00B819CD" w:rsidRPr="001F0FF2">
        <w:rPr>
          <w:rFonts w:cs="Times New Roman"/>
        </w:rPr>
        <w:t xml:space="preserve"> (Blackstone Press Limited 2000) 25–26; Martin Dixon, Robert McCorquodale and Sarah Williams, </w:t>
      </w:r>
      <w:r w:rsidR="00B819CD" w:rsidRPr="001F0FF2">
        <w:rPr>
          <w:rFonts w:cs="Times New Roman"/>
          <w:i/>
          <w:iCs/>
        </w:rPr>
        <w:t>Cases and Materials on International Law</w:t>
      </w:r>
      <w:r w:rsidR="00B819CD" w:rsidRPr="001F0FF2">
        <w:rPr>
          <w:rFonts w:cs="Times New Roman"/>
        </w:rPr>
        <w:t xml:space="preserve"> (Oxford University Press 2011) 25; André Nollkaemper, </w:t>
      </w:r>
      <w:r w:rsidR="00B819CD" w:rsidRPr="001F0FF2">
        <w:rPr>
          <w:rFonts w:cs="Times New Roman"/>
          <w:i/>
          <w:iCs/>
        </w:rPr>
        <w:t>Kern van het internationaal publiekrecht</w:t>
      </w:r>
      <w:r w:rsidR="00B819CD" w:rsidRPr="001F0FF2">
        <w:rPr>
          <w:rFonts w:cs="Times New Roman"/>
        </w:rPr>
        <w:t xml:space="preserve"> (Boom Juridisch 2019) 127; Anthea Roberts and Sandesh Sivakumaran, ‘The Theory and Reality of the Sources of International Law’ in Malcolm D Evans (ed), </w:t>
      </w:r>
      <w:r w:rsidR="00B819CD" w:rsidRPr="001F0FF2">
        <w:rPr>
          <w:rFonts w:cs="Times New Roman"/>
          <w:i/>
          <w:iCs/>
        </w:rPr>
        <w:t>International Law</w:t>
      </w:r>
      <w:r w:rsidR="00B819CD" w:rsidRPr="001F0FF2">
        <w:rPr>
          <w:rFonts w:cs="Times New Roman"/>
        </w:rPr>
        <w:t xml:space="preserve"> (Oxford University Press 2018) 91.</w:t>
      </w:r>
    </w:p>
  </w:footnote>
  <w:footnote w:id="32">
    <w:p w14:paraId="1CAF32EE" w14:textId="45549294" w:rsidR="00461419" w:rsidRPr="001F0FF2" w:rsidRDefault="00461419"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Martin Dixon, </w:t>
      </w:r>
      <w:r w:rsidR="00B819CD" w:rsidRPr="001F0FF2">
        <w:rPr>
          <w:rFonts w:cs="Times New Roman"/>
          <w:i/>
          <w:iCs/>
        </w:rPr>
        <w:t>Textbook on International Law</w:t>
      </w:r>
      <w:r w:rsidR="00B819CD" w:rsidRPr="001F0FF2">
        <w:rPr>
          <w:rFonts w:cs="Times New Roman"/>
        </w:rPr>
        <w:t xml:space="preserve"> (Blackstone Press Limited 2000) 25; Martin Dixon, Robert McCorquodale and Sarah Williams, </w:t>
      </w:r>
      <w:r w:rsidR="00B819CD" w:rsidRPr="001F0FF2">
        <w:rPr>
          <w:rFonts w:cs="Times New Roman"/>
          <w:i/>
          <w:iCs/>
        </w:rPr>
        <w:t>Cases and Materials on International Law</w:t>
      </w:r>
      <w:r w:rsidR="00B819CD" w:rsidRPr="001F0FF2">
        <w:rPr>
          <w:rFonts w:cs="Times New Roman"/>
        </w:rPr>
        <w:t xml:space="preserve"> (Oxford University Press 2011) 25; André Nollkaemper, </w:t>
      </w:r>
      <w:r w:rsidR="00B819CD" w:rsidRPr="001F0FF2">
        <w:rPr>
          <w:rFonts w:cs="Times New Roman"/>
          <w:i/>
          <w:iCs/>
        </w:rPr>
        <w:t>Kern van het internationaal publiekrecht</w:t>
      </w:r>
      <w:r w:rsidR="00B819CD" w:rsidRPr="001F0FF2">
        <w:rPr>
          <w:rFonts w:cs="Times New Roman"/>
        </w:rPr>
        <w:t xml:space="preserve"> (Boom Juridisch 2019) 127; Anthea Roberts and Sandesh Sivakumaran, ‘The Theory and Reality of the Sources of International Law’ in Malcolm D Evans (ed), </w:t>
      </w:r>
      <w:r w:rsidR="00B819CD" w:rsidRPr="001F0FF2">
        <w:rPr>
          <w:rFonts w:cs="Times New Roman"/>
          <w:i/>
          <w:iCs/>
        </w:rPr>
        <w:t>International Law</w:t>
      </w:r>
      <w:r w:rsidR="00B819CD" w:rsidRPr="001F0FF2">
        <w:rPr>
          <w:rFonts w:cs="Times New Roman"/>
        </w:rPr>
        <w:t xml:space="preserve"> (Oxford University Press 2018) 91.</w:t>
      </w:r>
    </w:p>
  </w:footnote>
  <w:footnote w:id="33">
    <w:p w14:paraId="62D9E5A6" w14:textId="6B7C9A90" w:rsidR="00143EC0" w:rsidRPr="001F0FF2" w:rsidRDefault="00143EC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Theodor Meron, </w:t>
      </w:r>
      <w:r w:rsidR="00B819CD" w:rsidRPr="001F0FF2">
        <w:rPr>
          <w:rStyle w:val="Nadruk"/>
          <w:rFonts w:cs="Times New Roman"/>
        </w:rPr>
        <w:t>The Humanization of International Law</w:t>
      </w:r>
      <w:r w:rsidR="00B819CD" w:rsidRPr="001F0FF2">
        <w:rPr>
          <w:rFonts w:cs="Times New Roman"/>
        </w:rPr>
        <w:t xml:space="preserve"> (Martinus Nijhoff Publishers 2006) 95.</w:t>
      </w:r>
    </w:p>
  </w:footnote>
  <w:footnote w:id="34">
    <w:p w14:paraId="7265A86C" w14:textId="4B2FBB93" w:rsidR="003605D5" w:rsidRPr="001F0FF2" w:rsidRDefault="003605D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Rome Statute of the International Criminal Court (adopted 17 July 1998, entered into force 1 July 2002) 2187 UNTS 90 art 6(c); Hans-Peter Kaul, ‘The International Criminal Court and the Crime of Genocide’ in Paola Gaeta (ed), </w:t>
      </w:r>
      <w:r w:rsidR="00B819CD" w:rsidRPr="001F0FF2">
        <w:rPr>
          <w:rStyle w:val="Nadruk"/>
          <w:rFonts w:cs="Times New Roman"/>
        </w:rPr>
        <w:t>The UN Genocide Convention: A Commentary</w:t>
      </w:r>
      <w:r w:rsidR="00B819CD" w:rsidRPr="001F0FF2">
        <w:rPr>
          <w:rFonts w:cs="Times New Roman"/>
        </w:rPr>
        <w:t xml:space="preserve"> (Oxford University Press 2009).</w:t>
      </w:r>
    </w:p>
  </w:footnote>
  <w:footnote w:id="35">
    <w:p w14:paraId="2E0CA2B1" w14:textId="4C61CDC6" w:rsidR="00B22495" w:rsidRPr="001F0FF2" w:rsidRDefault="00B2249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Fonts w:cs="Times New Roman"/>
        </w:rPr>
        <w:t xml:space="preserve">Office of the Prosecutor, </w:t>
      </w:r>
      <w:r w:rsidR="00B819CD" w:rsidRPr="001F0FF2">
        <w:rPr>
          <w:rStyle w:val="Nadruk"/>
          <w:rFonts w:cs="Times New Roman"/>
        </w:rPr>
        <w:t>Policy on Addressing Environmental Crimes under the Rome Statute</w:t>
      </w:r>
      <w:r w:rsidR="00B819CD" w:rsidRPr="001F0FF2">
        <w:rPr>
          <w:rFonts w:cs="Times New Roman"/>
        </w:rPr>
        <w:t xml:space="preserve"> (International Criminal Court 2023).</w:t>
      </w:r>
    </w:p>
  </w:footnote>
  <w:footnote w:id="36">
    <w:p w14:paraId="6D686F25" w14:textId="071ECC5F" w:rsidR="001B6EC1" w:rsidRPr="001F0FF2" w:rsidRDefault="001B6EC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w:t>
      </w:r>
      <w:r w:rsidR="00B819CD" w:rsidRPr="001F0FF2">
        <w:rPr>
          <w:rFonts w:cs="Times New Roman"/>
        </w:rPr>
        <w:t xml:space="preserve">Office of the Prosecutor, </w:t>
      </w:r>
      <w:r w:rsidR="00B819CD" w:rsidRPr="001F0FF2">
        <w:rPr>
          <w:rStyle w:val="Nadruk"/>
          <w:rFonts w:cs="Times New Roman"/>
        </w:rPr>
        <w:t>Policy on Addressing Environmental Crimes under the Rome Statute</w:t>
      </w:r>
      <w:r w:rsidR="00B819CD" w:rsidRPr="001F0FF2">
        <w:rPr>
          <w:rFonts w:cs="Times New Roman"/>
        </w:rPr>
        <w:t xml:space="preserve"> (International Criminal Court 2023).</w:t>
      </w:r>
    </w:p>
  </w:footnote>
  <w:footnote w:id="37">
    <w:p w14:paraId="2A698B5F" w14:textId="0C627E56" w:rsidR="001B6EC1" w:rsidRPr="001F0FF2" w:rsidRDefault="001B6EC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para</w:t>
      </w:r>
      <w:r w:rsidR="00B819CD" w:rsidRPr="001F0FF2">
        <w:rPr>
          <w:rFonts w:cs="Times New Roman"/>
        </w:rPr>
        <w:t>s</w:t>
      </w:r>
      <w:r w:rsidRPr="001F0FF2">
        <w:rPr>
          <w:rFonts w:cs="Times New Roman"/>
        </w:rPr>
        <w:t xml:space="preserve"> </w:t>
      </w:r>
      <w:r w:rsidR="00B819CD" w:rsidRPr="001F0FF2">
        <w:rPr>
          <w:rFonts w:cs="Times New Roman"/>
        </w:rPr>
        <w:t>1</w:t>
      </w:r>
      <w:r w:rsidRPr="001F0FF2">
        <w:rPr>
          <w:rFonts w:cs="Times New Roman"/>
        </w:rPr>
        <w:t>10</w:t>
      </w:r>
      <w:r w:rsidR="00B819CD" w:rsidRPr="001F0FF2">
        <w:rPr>
          <w:rFonts w:cs="Times New Roman"/>
        </w:rPr>
        <w:t>-</w:t>
      </w:r>
      <w:r w:rsidR="00573442" w:rsidRPr="001F0FF2">
        <w:rPr>
          <w:rFonts w:cs="Times New Roman"/>
        </w:rPr>
        <w:t>111.</w:t>
      </w:r>
    </w:p>
  </w:footnote>
  <w:footnote w:id="38">
    <w:p w14:paraId="61109E21" w14:textId="44D85369" w:rsidR="00573442" w:rsidRPr="001F0FF2" w:rsidRDefault="0057344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para. 89-90.</w:t>
      </w:r>
    </w:p>
  </w:footnote>
  <w:footnote w:id="39">
    <w:p w14:paraId="60ADD9EB" w14:textId="72B2109A" w:rsidR="00573442" w:rsidRPr="001F0FF2" w:rsidRDefault="0057344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para 175-176.</w:t>
      </w:r>
    </w:p>
  </w:footnote>
  <w:footnote w:id="40">
    <w:p w14:paraId="61A985E9" w14:textId="3995542D" w:rsidR="00D65CD4" w:rsidRPr="001F0FF2" w:rsidRDefault="00D65CD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para 23 and 174.</w:t>
      </w:r>
    </w:p>
  </w:footnote>
  <w:footnote w:id="41">
    <w:p w14:paraId="099ABDA6" w14:textId="0706C7C4" w:rsidR="00134EC3" w:rsidRPr="001F0FF2" w:rsidRDefault="00134EC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B819CD" w:rsidRPr="001F0FF2">
        <w:rPr>
          <w:rFonts w:cs="Times New Roman"/>
        </w:rPr>
        <w:t>Convention on the Prevention and Punishment of the Crime of Genocide (adopted 9 December 1948, entered into force 12 January 1951) 78 UNTS 277 art II.</w:t>
      </w:r>
    </w:p>
  </w:footnote>
  <w:footnote w:id="42">
    <w:p w14:paraId="05AE566B" w14:textId="737EFCCF" w:rsidR="00791C15" w:rsidRPr="001F0FF2" w:rsidRDefault="00791C1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Fonts w:cs="Times New Roman"/>
        </w:rPr>
        <w:t xml:space="preserve">William A Schabas, </w:t>
      </w:r>
      <w:r w:rsidR="003D14E0" w:rsidRPr="001F0FF2">
        <w:rPr>
          <w:rStyle w:val="Nadruk"/>
          <w:rFonts w:cs="Times New Roman"/>
        </w:rPr>
        <w:t>Genocide in International Law</w:t>
      </w:r>
      <w:r w:rsidR="003D14E0" w:rsidRPr="001F0FF2">
        <w:rPr>
          <w:rFonts w:cs="Times New Roman"/>
        </w:rPr>
        <w:t xml:space="preserve"> (3rd edn, Cambridge University Press 2025) 130</w:t>
      </w:r>
      <w:r w:rsidR="003D14E0" w:rsidRPr="001F0FF2">
        <w:rPr>
          <w:rFonts w:cs="Times New Roman"/>
        </w:rPr>
        <w:t>.</w:t>
      </w:r>
    </w:p>
  </w:footnote>
  <w:footnote w:id="43">
    <w:p w14:paraId="340850D7" w14:textId="1D615119" w:rsidR="00DF311D" w:rsidRPr="001F0FF2" w:rsidRDefault="00DF311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Fonts w:cs="Times New Roman"/>
        </w:rPr>
        <w:t xml:space="preserve">Antonio Cassese, Guido Acquaviva, Mary Fan and Alex Whiting, </w:t>
      </w:r>
      <w:r w:rsidR="003D14E0" w:rsidRPr="001F0FF2">
        <w:rPr>
          <w:rStyle w:val="Nadruk"/>
          <w:rFonts w:cs="Times New Roman"/>
        </w:rPr>
        <w:t>International Criminal Law: Cases &amp; Commentary</w:t>
      </w:r>
      <w:r w:rsidR="003D14E0" w:rsidRPr="001F0FF2">
        <w:rPr>
          <w:rFonts w:cs="Times New Roman"/>
        </w:rPr>
        <w:t xml:space="preserve"> (Oxford University Press 2011) 204; Caroline Tournaye, ‘Genocidal Intent before the ICTY’ (2003) 52 </w:t>
      </w:r>
      <w:r w:rsidR="003D14E0" w:rsidRPr="001F0FF2">
        <w:rPr>
          <w:rStyle w:val="Nadruk"/>
          <w:rFonts w:cs="Times New Roman"/>
        </w:rPr>
        <w:t>International and Comparative Law Quarterly</w:t>
      </w:r>
      <w:r w:rsidR="003D14E0" w:rsidRPr="001F0FF2">
        <w:rPr>
          <w:rFonts w:cs="Times New Roman"/>
        </w:rPr>
        <w:t xml:space="preserve"> 447, 449</w:t>
      </w:r>
      <w:r w:rsidR="003D14E0" w:rsidRPr="001F0FF2">
        <w:rPr>
          <w:rFonts w:cs="Times New Roman"/>
        </w:rPr>
        <w:t>-4</w:t>
      </w:r>
      <w:r w:rsidR="003D14E0" w:rsidRPr="001F0FF2">
        <w:rPr>
          <w:rFonts w:cs="Times New Roman"/>
        </w:rPr>
        <w:t>50</w:t>
      </w:r>
      <w:r w:rsidR="003D14E0" w:rsidRPr="001F0FF2">
        <w:rPr>
          <w:rFonts w:cs="Times New Roman"/>
        </w:rPr>
        <w:t>.</w:t>
      </w:r>
    </w:p>
  </w:footnote>
  <w:footnote w:id="44">
    <w:p w14:paraId="1679D0C1" w14:textId="326F4A73" w:rsidR="00D9588A" w:rsidRPr="001F0FF2" w:rsidRDefault="00D9588A"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3D14E0" w:rsidRPr="001F0FF2">
        <w:rPr>
          <w:rFonts w:cs="Times New Roman"/>
          <w:i/>
          <w:iCs/>
        </w:rPr>
        <w:t>Prosecutor v Akayesu</w:t>
      </w:r>
      <w:r w:rsidR="003D14E0" w:rsidRPr="001F0FF2">
        <w:rPr>
          <w:rFonts w:cs="Times New Roman"/>
        </w:rPr>
        <w:t xml:space="preserve"> (Judgment) ICTR-96-4-T (2 September 1998) paras 511</w:t>
      </w:r>
      <w:r w:rsidR="003D14E0" w:rsidRPr="001F0FF2">
        <w:rPr>
          <w:rFonts w:cs="Times New Roman"/>
        </w:rPr>
        <w:t>-</w:t>
      </w:r>
      <w:r w:rsidR="003D14E0" w:rsidRPr="001F0FF2">
        <w:rPr>
          <w:rFonts w:cs="Times New Roman"/>
        </w:rPr>
        <w:t>516.</w:t>
      </w:r>
    </w:p>
  </w:footnote>
  <w:footnote w:id="45">
    <w:p w14:paraId="60BD727D" w14:textId="5D237AFA" w:rsidR="008F4368" w:rsidRPr="001F0FF2" w:rsidRDefault="008F436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Style w:val="Nadruk"/>
          <w:rFonts w:cs="Times New Roman"/>
        </w:rPr>
        <w:t>Prosecutor v Rutaganda</w:t>
      </w:r>
      <w:r w:rsidR="003D14E0" w:rsidRPr="001F0FF2">
        <w:rPr>
          <w:rFonts w:cs="Times New Roman"/>
        </w:rPr>
        <w:t xml:space="preserve"> (Judgment and Sentence) ICTR-96-3-T (6 December 1999) paras 55</w:t>
      </w:r>
      <w:r w:rsidR="003D14E0" w:rsidRPr="001F0FF2">
        <w:rPr>
          <w:rFonts w:cs="Times New Roman"/>
        </w:rPr>
        <w:t>-</w:t>
      </w:r>
      <w:r w:rsidR="003D14E0" w:rsidRPr="001F0FF2">
        <w:rPr>
          <w:rFonts w:cs="Times New Roman"/>
        </w:rPr>
        <w:t xml:space="preserve">57; </w:t>
      </w:r>
      <w:r w:rsidR="003D14E0" w:rsidRPr="001F0FF2">
        <w:rPr>
          <w:rStyle w:val="Nadruk"/>
          <w:rFonts w:cs="Times New Roman"/>
        </w:rPr>
        <w:t>Prosecutor v Musema</w:t>
      </w:r>
      <w:r w:rsidR="003D14E0" w:rsidRPr="001F0FF2">
        <w:rPr>
          <w:rFonts w:cs="Times New Roman"/>
        </w:rPr>
        <w:t xml:space="preserve"> (Judgment and Sentence) ICTR-96-13-T (27 January 2000) paras 161</w:t>
      </w:r>
      <w:r w:rsidR="003D14E0" w:rsidRPr="001F0FF2">
        <w:rPr>
          <w:rFonts w:cs="Times New Roman"/>
        </w:rPr>
        <w:t>-</w:t>
      </w:r>
      <w:r w:rsidR="003D14E0" w:rsidRPr="001F0FF2">
        <w:rPr>
          <w:rFonts w:cs="Times New Roman"/>
        </w:rPr>
        <w:t xml:space="preserve">163; </w:t>
      </w:r>
      <w:r w:rsidR="003D14E0" w:rsidRPr="001F0FF2">
        <w:rPr>
          <w:rStyle w:val="Nadruk"/>
          <w:rFonts w:cs="Times New Roman"/>
        </w:rPr>
        <w:t>Prosecutor v Jelisić</w:t>
      </w:r>
      <w:r w:rsidR="003D14E0" w:rsidRPr="001F0FF2">
        <w:rPr>
          <w:rFonts w:cs="Times New Roman"/>
        </w:rPr>
        <w:t xml:space="preserve"> (Appeal Judgment) IT-95-10-A (5 July 2001) paras 7072.</w:t>
      </w:r>
    </w:p>
  </w:footnote>
  <w:footnote w:id="46">
    <w:p w14:paraId="7D3BE18D" w14:textId="6A6463EC" w:rsidR="00056D6B" w:rsidRPr="001F0FF2" w:rsidRDefault="00056D6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Style w:val="Nadruk"/>
          <w:rFonts w:cs="Times New Roman"/>
        </w:rPr>
        <w:t>Prosecutor v Niyitegeka</w:t>
      </w:r>
      <w:r w:rsidR="003D14E0" w:rsidRPr="001F0FF2">
        <w:rPr>
          <w:rFonts w:cs="Times New Roman"/>
        </w:rPr>
        <w:t xml:space="preserve"> (Judgment and Sentence) ICTR-96-14-T (16 May 2003) paras 409</w:t>
      </w:r>
      <w:r w:rsidR="003D14E0" w:rsidRPr="001F0FF2">
        <w:rPr>
          <w:rFonts w:cs="Times New Roman"/>
        </w:rPr>
        <w:t>-</w:t>
      </w:r>
      <w:r w:rsidR="003D14E0" w:rsidRPr="001F0FF2">
        <w:rPr>
          <w:rFonts w:cs="Times New Roman"/>
        </w:rPr>
        <w:t>410.</w:t>
      </w:r>
    </w:p>
  </w:footnote>
  <w:footnote w:id="47">
    <w:p w14:paraId="7D48DD4C" w14:textId="18BBADCE" w:rsidR="00056D6B" w:rsidRPr="001F0FF2" w:rsidRDefault="00056D6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Style w:val="Nadruk"/>
          <w:rFonts w:cs="Times New Roman"/>
        </w:rPr>
        <w:t>Prosecutor v Rutaganda</w:t>
      </w:r>
      <w:r w:rsidR="003D14E0" w:rsidRPr="001F0FF2">
        <w:rPr>
          <w:rFonts w:cs="Times New Roman"/>
        </w:rPr>
        <w:t xml:space="preserve"> (Judgment and Sentence) ICTR-96-3-T (6 December 1999) paras 69</w:t>
      </w:r>
      <w:r w:rsidR="003D14E0" w:rsidRPr="001F0FF2">
        <w:rPr>
          <w:rFonts w:cs="Times New Roman"/>
        </w:rPr>
        <w:t>-</w:t>
      </w:r>
      <w:r w:rsidR="003D14E0" w:rsidRPr="001F0FF2">
        <w:rPr>
          <w:rFonts w:cs="Times New Roman"/>
        </w:rPr>
        <w:t xml:space="preserve">70; </w:t>
      </w:r>
      <w:r w:rsidR="003D14E0" w:rsidRPr="001F0FF2">
        <w:rPr>
          <w:rStyle w:val="Nadruk"/>
          <w:rFonts w:cs="Times New Roman"/>
        </w:rPr>
        <w:t>Prosecutor v Musema</w:t>
      </w:r>
      <w:r w:rsidR="003D14E0" w:rsidRPr="001F0FF2">
        <w:rPr>
          <w:rFonts w:cs="Times New Roman"/>
        </w:rPr>
        <w:t xml:space="preserve"> (Judgment and Sentence) ICTR-96-13-T (27 January 2000) para 165; </w:t>
      </w:r>
      <w:r w:rsidR="003D14E0" w:rsidRPr="001F0FF2">
        <w:rPr>
          <w:rStyle w:val="Nadruk"/>
          <w:rFonts w:cs="Times New Roman"/>
        </w:rPr>
        <w:t>Prosecutor v Jelisić</w:t>
      </w:r>
      <w:r w:rsidR="003D14E0" w:rsidRPr="001F0FF2">
        <w:rPr>
          <w:rFonts w:cs="Times New Roman"/>
        </w:rPr>
        <w:t xml:space="preserve"> (Appeal Judgment) IT-95-10-A (5 July 2001) para 46; </w:t>
      </w:r>
      <w:r w:rsidR="003D14E0" w:rsidRPr="001F0FF2">
        <w:rPr>
          <w:rStyle w:val="Nadruk"/>
          <w:rFonts w:cs="Times New Roman"/>
        </w:rPr>
        <w:t>Prosecutor v Nahimana, Barayagwiza and Ngeze</w:t>
      </w:r>
      <w:r w:rsidR="003D14E0" w:rsidRPr="001F0FF2">
        <w:rPr>
          <w:rFonts w:cs="Times New Roman"/>
        </w:rPr>
        <w:t xml:space="preserve"> (Judgment and Sentence) ICTR-99-52-T (3 December 2003) para 977.</w:t>
      </w:r>
    </w:p>
  </w:footnote>
  <w:footnote w:id="48">
    <w:p w14:paraId="74869EFF" w14:textId="6BADE6B0" w:rsidR="00C8626A" w:rsidRPr="001F0FF2" w:rsidRDefault="00C8626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Style w:val="Nadruk"/>
          <w:rFonts w:cs="Times New Roman"/>
        </w:rPr>
        <w:t>Prosecutor v Niyitegeka</w:t>
      </w:r>
      <w:r w:rsidR="003D14E0" w:rsidRPr="001F0FF2">
        <w:rPr>
          <w:rFonts w:cs="Times New Roman"/>
        </w:rPr>
        <w:t xml:space="preserve"> (Judgment and Sentence) ICTR-96-14-T (16 May 2003) paras 409-410.</w:t>
      </w:r>
    </w:p>
  </w:footnote>
  <w:footnote w:id="49">
    <w:p w14:paraId="1894A189" w14:textId="31BE2548" w:rsidR="00C8626A" w:rsidRPr="001F0FF2" w:rsidRDefault="00C8626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Style w:val="Nadruk"/>
          <w:rFonts w:cs="Times New Roman"/>
        </w:rPr>
        <w:t>Prosecutor v Akayesu</w:t>
      </w:r>
      <w:r w:rsidR="003D14E0" w:rsidRPr="001F0FF2">
        <w:rPr>
          <w:rFonts w:cs="Times New Roman"/>
        </w:rPr>
        <w:t xml:space="preserve"> (Judgment) ICTR-96-4-T (2 September 1998) paras 521</w:t>
      </w:r>
      <w:r w:rsidR="003D14E0" w:rsidRPr="001F0FF2">
        <w:rPr>
          <w:rFonts w:cs="Times New Roman"/>
        </w:rPr>
        <w:t>-</w:t>
      </w:r>
      <w:r w:rsidR="003D14E0" w:rsidRPr="001F0FF2">
        <w:rPr>
          <w:rFonts w:cs="Times New Roman"/>
        </w:rPr>
        <w:t>523.</w:t>
      </w:r>
    </w:p>
  </w:footnote>
  <w:footnote w:id="50">
    <w:p w14:paraId="0D9E5EA5" w14:textId="7FFE89A3" w:rsidR="006F50BD" w:rsidRPr="001F0FF2" w:rsidRDefault="006F50B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William A Schabas, </w:t>
      </w:r>
      <w:r w:rsidRPr="001F0FF2">
        <w:rPr>
          <w:rStyle w:val="Nadruk"/>
          <w:rFonts w:cs="Times New Roman"/>
        </w:rPr>
        <w:t>Genocide in International Law</w:t>
      </w:r>
      <w:r w:rsidRPr="001F0FF2">
        <w:rPr>
          <w:rFonts w:cs="Times New Roman"/>
        </w:rPr>
        <w:t xml:space="preserve"> (1st edn., Camebridge University Press 2025) 108.</w:t>
      </w:r>
    </w:p>
  </w:footnote>
  <w:footnote w:id="51">
    <w:p w14:paraId="692BFE90" w14:textId="0DAEC310" w:rsidR="00C8626A" w:rsidRPr="001F0FF2" w:rsidRDefault="00C8626A" w:rsidP="00C06674">
      <w:pPr>
        <w:pStyle w:val="Voetnoottekst"/>
        <w:jc w:val="both"/>
        <w:rPr>
          <w:rFonts w:cs="Times New Roman"/>
          <w:lang w:val="nl-NL"/>
        </w:rPr>
      </w:pPr>
      <w:r w:rsidRPr="001F0FF2">
        <w:rPr>
          <w:rStyle w:val="Voetnootmarkering"/>
          <w:rFonts w:cs="Times New Roman"/>
        </w:rPr>
        <w:footnoteRef/>
      </w:r>
      <w:r w:rsidR="00C5318D" w:rsidRPr="001F0FF2">
        <w:rPr>
          <w:rFonts w:cs="Times New Roman"/>
        </w:rPr>
        <w:t xml:space="preserve"> </w:t>
      </w:r>
      <w:r w:rsidR="003D14E0" w:rsidRPr="001F0FF2">
        <w:rPr>
          <w:rStyle w:val="Nadruk"/>
          <w:rFonts w:cs="Times New Roman"/>
        </w:rPr>
        <w:t>Prosecutor v Al Bashir</w:t>
      </w:r>
      <w:r w:rsidR="003D14E0" w:rsidRPr="001F0FF2">
        <w:rPr>
          <w:rFonts w:cs="Times New Roman"/>
        </w:rPr>
        <w:t xml:space="preserve"> (Prosecution’s Application for a Warrant of Arrest under art 58) ICC-02/05-157 (14 July 2008).</w:t>
      </w:r>
    </w:p>
  </w:footnote>
  <w:footnote w:id="52">
    <w:p w14:paraId="451C180D" w14:textId="7A974ED3" w:rsidR="00496078" w:rsidRPr="001F0FF2" w:rsidRDefault="004960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D14E0" w:rsidRPr="001F0FF2">
        <w:rPr>
          <w:rFonts w:cs="Times New Roman"/>
        </w:rPr>
        <w:t>ILC</w:t>
      </w:r>
      <w:r w:rsidR="003D14E0" w:rsidRPr="001F0FF2">
        <w:rPr>
          <w:rFonts w:cs="Times New Roman"/>
        </w:rPr>
        <w:t xml:space="preserve">, </w:t>
      </w:r>
      <w:r w:rsidR="003D14E0" w:rsidRPr="001F0FF2">
        <w:rPr>
          <w:rStyle w:val="Nadruk"/>
          <w:rFonts w:cs="Times New Roman"/>
        </w:rPr>
        <w:t>Draft conclusions on identification and legal consequences of peremptory norms of general international law (jus cogens)</w:t>
      </w:r>
      <w:r w:rsidR="003D14E0" w:rsidRPr="001F0FF2">
        <w:rPr>
          <w:rFonts w:cs="Times New Roman"/>
        </w:rPr>
        <w:t xml:space="preserve">, UN Doc A/77/10 (18 April 2022); </w:t>
      </w:r>
      <w:r w:rsidR="003D14E0" w:rsidRPr="001F0FF2">
        <w:rPr>
          <w:rStyle w:val="Nadruk"/>
          <w:rFonts w:cs="Times New Roman"/>
        </w:rPr>
        <w:t>Prosecutor v Akayesu</w:t>
      </w:r>
      <w:r w:rsidR="003D14E0" w:rsidRPr="001F0FF2">
        <w:rPr>
          <w:rFonts w:cs="Times New Roman"/>
        </w:rPr>
        <w:t xml:space="preserve"> (Judgment) ICTR-96-4-T (2 September 1998) paras 494</w:t>
      </w:r>
      <w:r w:rsidR="003D14E0" w:rsidRPr="001F0FF2">
        <w:rPr>
          <w:rFonts w:cs="Times New Roman"/>
        </w:rPr>
        <w:t>-</w:t>
      </w:r>
      <w:r w:rsidR="003D14E0" w:rsidRPr="001F0FF2">
        <w:rPr>
          <w:rFonts w:cs="Times New Roman"/>
        </w:rPr>
        <w:t xml:space="preserve">495; </w:t>
      </w:r>
      <w:r w:rsidR="003D14E0" w:rsidRPr="001F0FF2">
        <w:rPr>
          <w:rStyle w:val="Nadruk"/>
          <w:rFonts w:cs="Times New Roman"/>
        </w:rPr>
        <w:t>Prosecutor v Krstić</w:t>
      </w:r>
      <w:r w:rsidR="003D14E0" w:rsidRPr="001F0FF2">
        <w:rPr>
          <w:rFonts w:cs="Times New Roman"/>
        </w:rPr>
        <w:t xml:space="preserve"> (Judgment) IT-98-33-T (2 August 2001) paras 541</w:t>
      </w:r>
      <w:r w:rsidR="003D14E0" w:rsidRPr="001F0FF2">
        <w:rPr>
          <w:rFonts w:cs="Times New Roman"/>
        </w:rPr>
        <w:t>-</w:t>
      </w:r>
      <w:r w:rsidR="003D14E0" w:rsidRPr="001F0FF2">
        <w:rPr>
          <w:rFonts w:cs="Times New Roman"/>
        </w:rPr>
        <w:t xml:space="preserve">543; Malcolm Shaw, </w:t>
      </w:r>
      <w:r w:rsidR="003D14E0" w:rsidRPr="001F0FF2">
        <w:rPr>
          <w:rStyle w:val="Nadruk"/>
          <w:rFonts w:cs="Times New Roman"/>
        </w:rPr>
        <w:t>International Law</w:t>
      </w:r>
      <w:r w:rsidR="003D14E0" w:rsidRPr="001F0FF2">
        <w:rPr>
          <w:rFonts w:cs="Times New Roman"/>
        </w:rPr>
        <w:t xml:space="preserve"> (9th edn, Cambridge University Press 2021) 107; William A Schabas, </w:t>
      </w:r>
      <w:r w:rsidR="003D14E0" w:rsidRPr="001F0FF2">
        <w:rPr>
          <w:rStyle w:val="Nadruk"/>
          <w:rFonts w:cs="Times New Roman"/>
        </w:rPr>
        <w:t>Genocide in International Law</w:t>
      </w:r>
      <w:r w:rsidR="003D14E0" w:rsidRPr="001F0FF2">
        <w:rPr>
          <w:rFonts w:cs="Times New Roman"/>
        </w:rPr>
        <w:t xml:space="preserve"> (3rd edn, Cambridge University Press 2025) 7; Dinah Shelton, </w:t>
      </w:r>
      <w:r w:rsidR="003D14E0" w:rsidRPr="001F0FF2">
        <w:rPr>
          <w:rStyle w:val="Nadruk"/>
          <w:rFonts w:cs="Times New Roman"/>
        </w:rPr>
        <w:t>Jus Cogens</w:t>
      </w:r>
      <w:r w:rsidR="003D14E0" w:rsidRPr="001F0FF2">
        <w:rPr>
          <w:rFonts w:cs="Times New Roman"/>
        </w:rPr>
        <w:t xml:space="preserve"> (Oxford University Press 2021) 94; Yuval Shany, ‘The Road to the Genocide Convention and Beyond’ in Paola Gaeta (ed), </w:t>
      </w:r>
      <w:r w:rsidR="003D14E0" w:rsidRPr="001F0FF2">
        <w:rPr>
          <w:rStyle w:val="Nadruk"/>
          <w:rFonts w:cs="Times New Roman"/>
        </w:rPr>
        <w:t>The UN Genocide Convention</w:t>
      </w:r>
      <w:r w:rsidR="003D14E0" w:rsidRPr="001F0FF2">
        <w:rPr>
          <w:rFonts w:cs="Times New Roman"/>
        </w:rPr>
        <w:t xml:space="preserve"> (Oxford University Press 2009) 88.</w:t>
      </w:r>
    </w:p>
  </w:footnote>
  <w:footnote w:id="53">
    <w:p w14:paraId="61D39605" w14:textId="1948E6BA" w:rsidR="00496078" w:rsidRPr="001F0FF2" w:rsidRDefault="00496078"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Pr="001F0FF2">
        <w:rPr>
          <w:rFonts w:cs="Times New Roman"/>
        </w:rPr>
        <w:t>Vienna Convention on the Law of Treaties, UN Treaty Series, vol. 1155, no. 18232, 23 May 1969</w:t>
      </w:r>
      <w:r w:rsidR="003D14E0" w:rsidRPr="001F0FF2">
        <w:rPr>
          <w:rFonts w:cs="Times New Roman"/>
        </w:rPr>
        <w:t>, a</w:t>
      </w:r>
      <w:r w:rsidR="003D14E0" w:rsidRPr="001F0FF2">
        <w:rPr>
          <w:rFonts w:cs="Times New Roman"/>
        </w:rPr>
        <w:t>rt 53</w:t>
      </w:r>
      <w:r w:rsidRPr="001F0FF2">
        <w:rPr>
          <w:rFonts w:cs="Times New Roman"/>
        </w:rPr>
        <w:t>.</w:t>
      </w:r>
    </w:p>
  </w:footnote>
  <w:footnote w:id="54">
    <w:p w14:paraId="0D2F1BDB" w14:textId="70858AC1" w:rsidR="00496078" w:rsidRPr="001F0FF2" w:rsidRDefault="00496078" w:rsidP="00C06674">
      <w:pPr>
        <w:pStyle w:val="Voetnoottekst"/>
        <w:jc w:val="both"/>
        <w:rPr>
          <w:rFonts w:cs="Times New Roman"/>
          <w:lang w:val="en-US"/>
        </w:rPr>
      </w:pPr>
      <w:r w:rsidRPr="001F0FF2">
        <w:rPr>
          <w:rStyle w:val="Voetnootmarkering"/>
          <w:rFonts w:cs="Times New Roman"/>
        </w:rPr>
        <w:footnoteRef/>
      </w:r>
      <w:r w:rsidRPr="001F0FF2">
        <w:rPr>
          <w:rFonts w:cs="Times New Roman"/>
        </w:rPr>
        <w:t xml:space="preserve"> </w:t>
      </w:r>
      <w:r w:rsidRPr="001F0FF2">
        <w:rPr>
          <w:rFonts w:cs="Times New Roman"/>
          <w:lang w:val="en-US"/>
        </w:rPr>
        <w:t>W</w:t>
      </w:r>
      <w:r w:rsidR="003D14E0" w:rsidRPr="001F0FF2">
        <w:rPr>
          <w:rFonts w:cs="Times New Roman"/>
          <w:lang w:val="en-US"/>
        </w:rPr>
        <w:t>illiam A</w:t>
      </w:r>
      <w:r w:rsidRPr="001F0FF2">
        <w:rPr>
          <w:rFonts w:cs="Times New Roman"/>
          <w:lang w:val="en-US"/>
        </w:rPr>
        <w:t xml:space="preserve"> S</w:t>
      </w:r>
      <w:r w:rsidR="003D14E0" w:rsidRPr="001F0FF2">
        <w:rPr>
          <w:rFonts w:cs="Times New Roman"/>
          <w:lang w:val="en-US"/>
        </w:rPr>
        <w:t>chabas</w:t>
      </w:r>
      <w:r w:rsidRPr="001F0FF2">
        <w:rPr>
          <w:rFonts w:cs="Times New Roman"/>
          <w:lang w:val="en-US"/>
        </w:rPr>
        <w:t xml:space="preserve">, </w:t>
      </w:r>
      <w:r w:rsidRPr="001F0FF2">
        <w:rPr>
          <w:rFonts w:cs="Times New Roman"/>
          <w:i/>
          <w:lang w:val="en-US"/>
        </w:rPr>
        <w:t>Genocide in International Law</w:t>
      </w:r>
      <w:r w:rsidRPr="001F0FF2">
        <w:rPr>
          <w:rFonts w:cs="Times New Roman"/>
          <w:lang w:val="en-US"/>
        </w:rPr>
        <w:t>, Cambridge, Cambridge University Press, 2025, 7; D</w:t>
      </w:r>
      <w:r w:rsidR="003F43F0" w:rsidRPr="001F0FF2">
        <w:rPr>
          <w:rFonts w:cs="Times New Roman"/>
          <w:lang w:val="en-US"/>
        </w:rPr>
        <w:t xml:space="preserve">inah </w:t>
      </w:r>
      <w:r w:rsidRPr="001F0FF2">
        <w:rPr>
          <w:rFonts w:cs="Times New Roman"/>
          <w:lang w:val="en-US"/>
        </w:rPr>
        <w:t>S</w:t>
      </w:r>
      <w:r w:rsidR="003F43F0" w:rsidRPr="001F0FF2">
        <w:rPr>
          <w:rFonts w:cs="Times New Roman"/>
          <w:lang w:val="en-US"/>
        </w:rPr>
        <w:t>helton</w:t>
      </w:r>
      <w:r w:rsidRPr="001F0FF2">
        <w:rPr>
          <w:rFonts w:cs="Times New Roman"/>
          <w:lang w:val="en-US"/>
        </w:rPr>
        <w:t xml:space="preserve">, </w:t>
      </w:r>
      <w:r w:rsidRPr="001F0FF2">
        <w:rPr>
          <w:rFonts w:cs="Times New Roman"/>
          <w:i/>
          <w:lang w:val="en-US"/>
        </w:rPr>
        <w:t>Jus Cogens</w:t>
      </w:r>
      <w:r w:rsidRPr="001F0FF2">
        <w:rPr>
          <w:rFonts w:cs="Times New Roman"/>
          <w:lang w:val="en-US"/>
        </w:rPr>
        <w:t>, Oxford, Oxford University Press, 2021, 94.</w:t>
      </w:r>
    </w:p>
  </w:footnote>
  <w:footnote w:id="55">
    <w:p w14:paraId="7B7A7B09" w14:textId="7D3A3CD3" w:rsidR="00AD484A" w:rsidRPr="001F0FF2" w:rsidRDefault="00AD484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6F7177" w:rsidRPr="001F0FF2">
        <w:rPr>
          <w:rStyle w:val="Nadruk"/>
          <w:rFonts w:cs="Times New Roman"/>
        </w:rPr>
        <w:t>Barcelona Traction, Light and Power Company, Limited (Belgium v Spain)</w:t>
      </w:r>
      <w:r w:rsidR="006F7177" w:rsidRPr="001F0FF2">
        <w:rPr>
          <w:rFonts w:cs="Times New Roman"/>
        </w:rPr>
        <w:t>, Second Phase, Judgment, ICJ Reports 1970, para 33-34.</w:t>
      </w:r>
    </w:p>
  </w:footnote>
  <w:footnote w:id="56">
    <w:p w14:paraId="4F36ABA4" w14:textId="60F4F852" w:rsidR="002E5203" w:rsidRPr="001F0FF2" w:rsidRDefault="002E520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F43F0" w:rsidRPr="001F0FF2">
        <w:rPr>
          <w:rStyle w:val="Nadruk"/>
          <w:rFonts w:cs="Times New Roman"/>
        </w:rPr>
        <w:t>Barcelona Traction, Light and Power Company Ltd (Belgium v Spain)</w:t>
      </w:r>
      <w:r w:rsidR="003F43F0" w:rsidRPr="001F0FF2">
        <w:rPr>
          <w:rFonts w:cs="Times New Roman"/>
        </w:rPr>
        <w:t xml:space="preserve"> (Judgment) [1970] ICJ Rep 3, paras 32</w:t>
      </w:r>
      <w:r w:rsidR="003F43F0" w:rsidRPr="001F0FF2">
        <w:rPr>
          <w:rFonts w:cs="Times New Roman"/>
        </w:rPr>
        <w:t>-</w:t>
      </w:r>
      <w:r w:rsidR="003F43F0" w:rsidRPr="001F0FF2">
        <w:rPr>
          <w:rFonts w:cs="Times New Roman"/>
        </w:rPr>
        <w:t xml:space="preserve">33; </w:t>
      </w:r>
      <w:r w:rsidR="003F43F0" w:rsidRPr="001F0FF2">
        <w:rPr>
          <w:rStyle w:val="Nadruk"/>
          <w:rFonts w:cs="Times New Roman"/>
        </w:rPr>
        <w:t>Legal Consequences of the Construction of a Wall in the Occupied Palestinian Territory</w:t>
      </w:r>
      <w:r w:rsidR="003F43F0" w:rsidRPr="001F0FF2">
        <w:rPr>
          <w:rFonts w:cs="Times New Roman"/>
        </w:rPr>
        <w:t xml:space="preserve"> (Advisory Opinion) [2004] ICJ Rep 136, para 155; </w:t>
      </w:r>
      <w:r w:rsidR="003F43F0" w:rsidRPr="001F0FF2">
        <w:rPr>
          <w:rStyle w:val="Nadruk"/>
          <w:rFonts w:cs="Times New Roman"/>
        </w:rPr>
        <w:t>Application of the Convention on the Prevention and Punishment of the Crime of Genocide (Bosnia and Herzegovina v Serbia and Montenegro)</w:t>
      </w:r>
      <w:r w:rsidR="003F43F0" w:rsidRPr="001F0FF2">
        <w:rPr>
          <w:rFonts w:cs="Times New Roman"/>
        </w:rPr>
        <w:t xml:space="preserve"> (Judgment) [2007] ICJ Rep 43, para 185; </w:t>
      </w:r>
      <w:r w:rsidR="003F43F0" w:rsidRPr="001F0FF2">
        <w:rPr>
          <w:rStyle w:val="Nadruk"/>
          <w:rFonts w:cs="Times New Roman"/>
        </w:rPr>
        <w:t>Questions relating to the Obligation to Prosecute or Extradite (Belgium v Senegal)</w:t>
      </w:r>
      <w:r w:rsidR="003F43F0" w:rsidRPr="001F0FF2">
        <w:rPr>
          <w:rFonts w:cs="Times New Roman"/>
        </w:rPr>
        <w:t xml:space="preserve"> (Judgment) [2012] ICJ Rep 422, para 68; International Law Commission, ‘Draft Conclusions on Identification and Legal Consequences of Peremptory Norms of General International Law (jus cogens)’ (2022) UN Doc A/77/10 conclusion 17; Agnieszka Kaczorowska-Ireland, </w:t>
      </w:r>
      <w:r w:rsidR="003F43F0" w:rsidRPr="001F0FF2">
        <w:rPr>
          <w:rStyle w:val="Nadruk"/>
          <w:rFonts w:cs="Times New Roman"/>
        </w:rPr>
        <w:t>Public International Law</w:t>
      </w:r>
      <w:r w:rsidR="003F43F0" w:rsidRPr="001F0FF2">
        <w:rPr>
          <w:rFonts w:cs="Times New Roman"/>
        </w:rPr>
        <w:t xml:space="preserve"> (Routledge 2015) 44</w:t>
      </w:r>
      <w:r w:rsidR="00EF356D">
        <w:rPr>
          <w:rFonts w:cs="Times New Roman"/>
        </w:rPr>
        <w:t>-</w:t>
      </w:r>
      <w:r w:rsidR="003F43F0" w:rsidRPr="001F0FF2">
        <w:rPr>
          <w:rFonts w:cs="Times New Roman"/>
        </w:rPr>
        <w:t>45</w:t>
      </w:r>
      <w:r w:rsidR="003F43F0" w:rsidRPr="001F0FF2">
        <w:rPr>
          <w:rFonts w:cs="Times New Roman"/>
        </w:rPr>
        <w:t>.</w:t>
      </w:r>
    </w:p>
  </w:footnote>
  <w:footnote w:id="57">
    <w:p w14:paraId="4A10F2CF" w14:textId="55BADF11" w:rsidR="00532F3E" w:rsidRPr="001F0FF2" w:rsidRDefault="00532F3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F43F0" w:rsidRPr="001F0FF2">
        <w:rPr>
          <w:rFonts w:cs="Times New Roman"/>
        </w:rPr>
        <w:t>Convention on the Prevention and Punishment of the Crime of Genocide (adopted 9 December 1948, entered into force 12 January 1951) 78 UNTS 277 art I.</w:t>
      </w:r>
    </w:p>
  </w:footnote>
  <w:footnote w:id="58">
    <w:p w14:paraId="3F8AC494" w14:textId="7D3E9BC5" w:rsidR="00EF20D2" w:rsidRPr="001F0FF2" w:rsidRDefault="00EF20D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F43F0" w:rsidRPr="001F0FF2">
        <w:rPr>
          <w:rStyle w:val="Nadruk"/>
          <w:rFonts w:cs="Times New Roman"/>
        </w:rPr>
        <w:t>Application of the Convention on the Prevention and Punishment of the Crime of Genocide in the Gaza Strip (South Africa v Israel)</w:t>
      </w:r>
      <w:r w:rsidR="003F43F0" w:rsidRPr="001F0FF2">
        <w:rPr>
          <w:rFonts w:cs="Times New Roman"/>
        </w:rPr>
        <w:t xml:space="preserve"> (Application Instituting Proceedings) (29 December 2023).</w:t>
      </w:r>
    </w:p>
  </w:footnote>
  <w:footnote w:id="59">
    <w:p w14:paraId="03B3999B" w14:textId="3B6477F7" w:rsidR="00EF20D2" w:rsidRPr="001F0FF2" w:rsidRDefault="00EF20D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r w:rsidRPr="001F0FF2">
        <w:rPr>
          <w:rFonts w:cs="Times New Roman"/>
          <w:lang w:val="nl-NL"/>
        </w:rPr>
        <w:t>.</w:t>
      </w:r>
    </w:p>
  </w:footnote>
  <w:footnote w:id="60">
    <w:p w14:paraId="6872A607" w14:textId="155B6806" w:rsidR="00A5371A" w:rsidRPr="001F0FF2" w:rsidRDefault="00A5371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F43F0" w:rsidRPr="001F0FF2">
        <w:rPr>
          <w:rStyle w:val="Nadruk"/>
          <w:rFonts w:cs="Times New Roman"/>
        </w:rPr>
        <w:t>Application of the Convention on the Prevention and Punishment of the Crime of Genocide in the Gaza Strip (South Africa v Israel)</w:t>
      </w:r>
      <w:r w:rsidR="003F43F0" w:rsidRPr="001F0FF2">
        <w:rPr>
          <w:rFonts w:cs="Times New Roman"/>
        </w:rPr>
        <w:t xml:space="preserve"> (Application Instituting Proceedings) (29 December 2023)</w:t>
      </w:r>
      <w:r w:rsidR="003F43F0" w:rsidRPr="001F0FF2">
        <w:rPr>
          <w:rFonts w:cs="Times New Roman"/>
        </w:rPr>
        <w:t xml:space="preserve">, paras </w:t>
      </w:r>
      <w:r w:rsidR="003F43F0" w:rsidRPr="001F0FF2">
        <w:rPr>
          <w:rFonts w:cs="Times New Roman"/>
        </w:rPr>
        <w:t>132</w:t>
      </w:r>
      <w:r w:rsidR="003F43F0" w:rsidRPr="001F0FF2">
        <w:rPr>
          <w:rFonts w:cs="Times New Roman"/>
        </w:rPr>
        <w:t>-</w:t>
      </w:r>
      <w:r w:rsidR="003F43F0" w:rsidRPr="001F0FF2">
        <w:rPr>
          <w:rFonts w:cs="Times New Roman"/>
        </w:rPr>
        <w:t>133.</w:t>
      </w:r>
    </w:p>
  </w:footnote>
  <w:footnote w:id="61">
    <w:p w14:paraId="6C69991C" w14:textId="26091A59" w:rsidR="00D77106" w:rsidRPr="001F0FF2" w:rsidRDefault="00D77106" w:rsidP="00C06674">
      <w:pPr>
        <w:pStyle w:val="Normaalweb"/>
        <w:spacing w:after="0"/>
        <w:jc w:val="both"/>
        <w:rPr>
          <w:rFonts w:cs="Times New Roman"/>
          <w:sz w:val="20"/>
          <w:szCs w:val="20"/>
        </w:rPr>
      </w:pPr>
      <w:r w:rsidRPr="001F0FF2">
        <w:rPr>
          <w:rStyle w:val="Voetnootmarkering"/>
          <w:rFonts w:cs="Times New Roman"/>
          <w:sz w:val="20"/>
          <w:szCs w:val="20"/>
        </w:rPr>
        <w:footnoteRef/>
      </w:r>
      <w:r w:rsidRPr="001F0FF2">
        <w:rPr>
          <w:rFonts w:cs="Times New Roman"/>
          <w:sz w:val="20"/>
          <w:szCs w:val="20"/>
        </w:rPr>
        <w:t xml:space="preserve"> </w:t>
      </w:r>
      <w:r w:rsidR="003F43F0" w:rsidRPr="001F0FF2">
        <w:rPr>
          <w:rFonts w:cs="Times New Roman"/>
          <w:sz w:val="20"/>
          <w:szCs w:val="20"/>
        </w:rPr>
        <w:t>Fuad Zarbiyev, ‘“A Perverse Version of the Nobel Prize”: The Symbolic Power of the Label of “Genocide”’ (</w:t>
      </w:r>
      <w:r w:rsidR="003F43F0" w:rsidRPr="001F0FF2">
        <w:rPr>
          <w:rFonts w:cs="Times New Roman"/>
          <w:i/>
          <w:iCs/>
          <w:sz w:val="20"/>
          <w:szCs w:val="20"/>
        </w:rPr>
        <w:t>Global Challenges</w:t>
      </w:r>
      <w:r w:rsidR="003F43F0" w:rsidRPr="001F0FF2">
        <w:rPr>
          <w:rFonts w:cs="Times New Roman"/>
          <w:sz w:val="20"/>
          <w:szCs w:val="20"/>
        </w:rPr>
        <w:t>, 13 January 2025).</w:t>
      </w:r>
    </w:p>
  </w:footnote>
  <w:footnote w:id="62">
    <w:p w14:paraId="6390D0AE" w14:textId="3F907903" w:rsidR="00775D2A" w:rsidRPr="001F0FF2" w:rsidRDefault="00775D2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Karen Hulme, </w:t>
      </w:r>
      <w:r w:rsidRPr="001F0FF2">
        <w:rPr>
          <w:rStyle w:val="Nadruk"/>
          <w:rFonts w:cs="Times New Roman"/>
        </w:rPr>
        <w:t>War Torn Environment: Interpreting the Legal Threshold</w:t>
      </w:r>
      <w:r w:rsidRPr="001F0FF2">
        <w:rPr>
          <w:rFonts w:cs="Times New Roman"/>
        </w:rPr>
        <w:t xml:space="preserve"> (Martinus Nijhoff 2004) 17-18.</w:t>
      </w:r>
    </w:p>
  </w:footnote>
  <w:footnote w:id="63">
    <w:p w14:paraId="36359530" w14:textId="3A90B74C" w:rsidR="00991634" w:rsidRPr="001F0FF2" w:rsidRDefault="0099163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F43F0" w:rsidRPr="001F0FF2">
        <w:rPr>
          <w:rFonts w:cs="Times New Roman"/>
        </w:rPr>
        <w:t xml:space="preserve">John H Knox, ‘Linking Human Rights and Climate Change at the United Nations’ (2009) 33 </w:t>
      </w:r>
      <w:r w:rsidR="003F43F0" w:rsidRPr="001F0FF2">
        <w:rPr>
          <w:rStyle w:val="Nadruk"/>
          <w:rFonts w:cs="Times New Roman"/>
        </w:rPr>
        <w:t>Harvard Environmental Law Review</w:t>
      </w:r>
      <w:r w:rsidR="003F43F0" w:rsidRPr="001F0FF2">
        <w:rPr>
          <w:rFonts w:cs="Times New Roman"/>
        </w:rPr>
        <w:t xml:space="preserve"> 477, 490; International Committee of the Red Cross, </w:t>
      </w:r>
      <w:r w:rsidR="003F43F0" w:rsidRPr="001F0FF2">
        <w:rPr>
          <w:rStyle w:val="Nadruk"/>
          <w:rFonts w:cs="Times New Roman"/>
        </w:rPr>
        <w:t>Guidelines on the Protection of the Natural Environment in Armed Conflict</w:t>
      </w:r>
      <w:r w:rsidR="003F43F0" w:rsidRPr="001F0FF2">
        <w:rPr>
          <w:rFonts w:cs="Times New Roman"/>
        </w:rPr>
        <w:t xml:space="preserve"> (ICRC 2020) 29; Mark A Drumbl, ‘Waging War Against the World: The Need to Move from War Crimes to Environmental Crimes’ in Yoram Dinstein and Mala Tabory (eds), </w:t>
      </w:r>
      <w:r w:rsidR="003F43F0" w:rsidRPr="001F0FF2">
        <w:rPr>
          <w:rStyle w:val="Nadruk"/>
          <w:rFonts w:cs="Times New Roman"/>
        </w:rPr>
        <w:t>International Law at a Time of Perplexity</w:t>
      </w:r>
      <w:r w:rsidR="003F43F0" w:rsidRPr="001F0FF2">
        <w:rPr>
          <w:rFonts w:cs="Times New Roman"/>
        </w:rPr>
        <w:t xml:space="preserve"> (Martinus Nijhoff 1989) 126.</w:t>
      </w:r>
    </w:p>
  </w:footnote>
  <w:footnote w:id="64">
    <w:p w14:paraId="15BF8FCC" w14:textId="137444CE" w:rsidR="00C92EC6" w:rsidRPr="001F0FF2" w:rsidRDefault="00C92EC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fr-BE"/>
        </w:rPr>
        <w:t xml:space="preserve">Adi Radhakrishnan, ‘An </w:t>
      </w:r>
      <w:proofErr w:type="spellStart"/>
      <w:r w:rsidRPr="001F0FF2">
        <w:rPr>
          <w:rFonts w:cs="Times New Roman"/>
          <w:lang w:val="fr-BE"/>
        </w:rPr>
        <w:t>Inherent</w:t>
      </w:r>
      <w:proofErr w:type="spellEnd"/>
      <w:r w:rsidRPr="001F0FF2">
        <w:rPr>
          <w:rFonts w:cs="Times New Roman"/>
          <w:lang w:val="fr-BE"/>
        </w:rPr>
        <w:t xml:space="preserve"> Right to Health: </w:t>
      </w:r>
      <w:proofErr w:type="spellStart"/>
      <w:r w:rsidRPr="001F0FF2">
        <w:rPr>
          <w:rFonts w:cs="Times New Roman"/>
          <w:lang w:val="fr-BE"/>
        </w:rPr>
        <w:t>Reviving</w:t>
      </w:r>
      <w:proofErr w:type="spellEnd"/>
      <w:r w:rsidRPr="001F0FF2">
        <w:rPr>
          <w:rFonts w:cs="Times New Roman"/>
          <w:lang w:val="fr-BE"/>
        </w:rPr>
        <w:t xml:space="preserve"> Article II(c) of the </w:t>
      </w:r>
      <w:proofErr w:type="spellStart"/>
      <w:r w:rsidRPr="001F0FF2">
        <w:rPr>
          <w:rFonts w:cs="Times New Roman"/>
          <w:lang w:val="fr-BE"/>
        </w:rPr>
        <w:t>Genocide</w:t>
      </w:r>
      <w:proofErr w:type="spellEnd"/>
      <w:r w:rsidRPr="001F0FF2">
        <w:rPr>
          <w:rFonts w:cs="Times New Roman"/>
          <w:lang w:val="fr-BE"/>
        </w:rPr>
        <w:t xml:space="preserve"> Convention’ (2020) </w:t>
      </w:r>
      <w:r w:rsidRPr="001F0FF2">
        <w:rPr>
          <w:rFonts w:cs="Times New Roman"/>
          <w:i/>
          <w:iCs/>
          <w:lang w:val="fr-BE"/>
        </w:rPr>
        <w:t xml:space="preserve">Columbia Human </w:t>
      </w:r>
      <w:proofErr w:type="spellStart"/>
      <w:r w:rsidRPr="001F0FF2">
        <w:rPr>
          <w:rFonts w:cs="Times New Roman"/>
          <w:i/>
          <w:iCs/>
          <w:lang w:val="fr-BE"/>
        </w:rPr>
        <w:t>Rights</w:t>
      </w:r>
      <w:proofErr w:type="spellEnd"/>
      <w:r w:rsidRPr="001F0FF2">
        <w:rPr>
          <w:rFonts w:cs="Times New Roman"/>
          <w:i/>
          <w:iCs/>
          <w:lang w:val="fr-BE"/>
        </w:rPr>
        <w:t xml:space="preserve"> Law </w:t>
      </w:r>
      <w:proofErr w:type="spellStart"/>
      <w:r w:rsidRPr="001F0FF2">
        <w:rPr>
          <w:rFonts w:cs="Times New Roman"/>
          <w:i/>
          <w:iCs/>
          <w:lang w:val="fr-BE"/>
        </w:rPr>
        <w:t>Review</w:t>
      </w:r>
      <w:proofErr w:type="spellEnd"/>
      <w:r w:rsidRPr="001F0FF2">
        <w:rPr>
          <w:rFonts w:cs="Times New Roman"/>
          <w:lang w:val="fr-BE"/>
        </w:rPr>
        <w:t>, 106-107.</w:t>
      </w:r>
    </w:p>
  </w:footnote>
  <w:footnote w:id="65">
    <w:p w14:paraId="1811634F" w14:textId="0BE961E8" w:rsidR="008943AC" w:rsidRPr="001F0FF2" w:rsidRDefault="008943A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Karen Hulme, </w:t>
      </w:r>
      <w:r w:rsidRPr="001F0FF2">
        <w:rPr>
          <w:rStyle w:val="Nadruk"/>
          <w:rFonts w:cs="Times New Roman"/>
        </w:rPr>
        <w:t>War Torn Environment: Interpreting the Legal Threshold</w:t>
      </w:r>
      <w:r w:rsidRPr="001F0FF2">
        <w:rPr>
          <w:rFonts w:cs="Times New Roman"/>
        </w:rPr>
        <w:t xml:space="preserve"> (Martinus Nijhoff 2004) 17-18.</w:t>
      </w:r>
    </w:p>
  </w:footnote>
  <w:footnote w:id="66">
    <w:p w14:paraId="4A4DAFEB" w14:textId="172CF683" w:rsidR="00B145CA" w:rsidRPr="001F0FF2" w:rsidRDefault="00B145CA"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Pr="001F0FF2">
        <w:rPr>
          <w:rFonts w:cs="Times New Roman"/>
        </w:rPr>
        <w:t xml:space="preserve">Polly Higgins, Damien Short and Nigel South, ‘Protecting the Planet: A Proposal for a Law of Ecocide’ (2013) 59 </w:t>
      </w:r>
      <w:r w:rsidRPr="001F0FF2">
        <w:rPr>
          <w:rStyle w:val="Nadruk"/>
          <w:rFonts w:cs="Times New Roman"/>
        </w:rPr>
        <w:t>Crime, Law and Social Change</w:t>
      </w:r>
      <w:r w:rsidRPr="001F0FF2">
        <w:rPr>
          <w:rFonts w:cs="Times New Roman"/>
        </w:rPr>
        <w:t xml:space="preserve"> 251, 251; Laurent Neyret, </w:t>
      </w:r>
      <w:r w:rsidRPr="001F0FF2">
        <w:rPr>
          <w:rFonts w:cs="Times New Roman"/>
          <w:i/>
          <w:iCs/>
        </w:rPr>
        <w:t>Des écocrimes à l’écocide: Le droit pénal au secours de l’environnement</w:t>
      </w:r>
      <w:r w:rsidRPr="001F0FF2">
        <w:rPr>
          <w:rFonts w:cs="Times New Roman"/>
        </w:rPr>
        <w:t xml:space="preserve"> (Bruylant 2015) 45-52. </w:t>
      </w:r>
    </w:p>
  </w:footnote>
  <w:footnote w:id="67">
    <w:p w14:paraId="06281CF8" w14:textId="451F857F" w:rsidR="001D61AA" w:rsidRPr="001F0FF2" w:rsidRDefault="001D61AA"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International Committee of the Red Cross (ICRC), </w:t>
      </w:r>
      <w:r w:rsidRPr="001F0FF2">
        <w:rPr>
          <w:rStyle w:val="Nadruk"/>
          <w:rFonts w:cs="Times New Roman"/>
        </w:rPr>
        <w:t>Guidelines on the Protection of the Natural Environment in Armed Conflict</w:t>
      </w:r>
      <w:r w:rsidRPr="001F0FF2">
        <w:rPr>
          <w:rFonts w:cs="Times New Roman"/>
        </w:rPr>
        <w:t xml:space="preserve"> (ICRC 2020) 15-16; Michael N Schmitt, ‘Green War: An Assessment of the Environmental Law of International Armed Conflict’ (1997) 22 </w:t>
      </w:r>
      <w:r w:rsidRPr="001F0FF2">
        <w:rPr>
          <w:rStyle w:val="Nadruk"/>
          <w:rFonts w:cs="Times New Roman"/>
        </w:rPr>
        <w:t>Yale Journal of International Law</w:t>
      </w:r>
      <w:r w:rsidRPr="001F0FF2">
        <w:rPr>
          <w:rFonts w:cs="Times New Roman"/>
        </w:rPr>
        <w:t xml:space="preserve"> 1, 5.</w:t>
      </w:r>
    </w:p>
  </w:footnote>
  <w:footnote w:id="68">
    <w:p w14:paraId="114C7BEC" w14:textId="6F410ACB" w:rsidR="009D1A14" w:rsidRPr="001F0FF2" w:rsidRDefault="009D1A1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Michael N Schmitt, ‘Green War: An Assessment of the Environmental Law of International Armed Conflict’ (1997) 22 </w:t>
      </w:r>
      <w:r w:rsidRPr="001F0FF2">
        <w:rPr>
          <w:rStyle w:val="Nadruk"/>
          <w:rFonts w:cs="Times New Roman"/>
        </w:rPr>
        <w:t>Yale Journal of International Law</w:t>
      </w:r>
      <w:r w:rsidRPr="001F0FF2">
        <w:rPr>
          <w:rFonts w:cs="Times New Roman"/>
        </w:rPr>
        <w:t xml:space="preserve"> 1, 34; </w:t>
      </w:r>
      <w:r w:rsidR="00DB5A79" w:rsidRPr="001F0FF2">
        <w:rPr>
          <w:rFonts w:cs="Times New Roman"/>
        </w:rPr>
        <w:t xml:space="preserve">Jay E Austin and Carl E Bruch, </w:t>
      </w:r>
      <w:r w:rsidR="00DB5A79" w:rsidRPr="001F0FF2">
        <w:rPr>
          <w:rStyle w:val="Nadruk"/>
          <w:rFonts w:cs="Times New Roman"/>
        </w:rPr>
        <w:t>The Environmental Consequences of War: Legal, Economic, and Scientific Perspectives</w:t>
      </w:r>
      <w:r w:rsidR="00DB5A79" w:rsidRPr="001F0FF2">
        <w:rPr>
          <w:rFonts w:cs="Times New Roman"/>
        </w:rPr>
        <w:t xml:space="preserve"> (Cambridge University Press 2000) </w:t>
      </w:r>
      <w:r w:rsidR="00067347" w:rsidRPr="001F0FF2">
        <w:rPr>
          <w:rFonts w:cs="Times New Roman"/>
        </w:rPr>
        <w:t>6-7; Tara Weinstein, ‘Prosecuting Attacks that Destroy the Environment: Environmental Crimes or Humanitarian Atrocities?’ (2005) 699.</w:t>
      </w:r>
    </w:p>
  </w:footnote>
  <w:footnote w:id="69">
    <w:p w14:paraId="3AA4AEE5" w14:textId="3B9C1BBA" w:rsidR="00067347" w:rsidRPr="001F0FF2" w:rsidRDefault="0006734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Legality of the Threat or Use of Nuclear Weapons</w:t>
      </w:r>
      <w:r w:rsidRPr="001F0FF2">
        <w:rPr>
          <w:rFonts w:cs="Times New Roman"/>
        </w:rPr>
        <w:t xml:space="preserve"> (Advisory Opinion) [1996] ICJ Rep 226, para 29</w:t>
      </w:r>
      <w:r w:rsidR="008D7854" w:rsidRPr="001F0FF2">
        <w:rPr>
          <w:rFonts w:cs="Times New Roman"/>
        </w:rPr>
        <w:t xml:space="preserve">; </w:t>
      </w:r>
      <w:r w:rsidR="008D7854" w:rsidRPr="001F0FF2">
        <w:rPr>
          <w:rStyle w:val="Nadruk"/>
          <w:rFonts w:cs="Times New Roman"/>
        </w:rPr>
        <w:t>Pulp Mills on the River Uruguay (Argentina v Uruguay)</w:t>
      </w:r>
      <w:r w:rsidR="008D7854" w:rsidRPr="001F0FF2">
        <w:rPr>
          <w:rFonts w:cs="Times New Roman"/>
        </w:rPr>
        <w:t xml:space="preserve"> (Judgment) [2010] ICJ Rep 14, 101.</w:t>
      </w:r>
    </w:p>
  </w:footnote>
  <w:footnote w:id="70">
    <w:p w14:paraId="072C6C86" w14:textId="4651FEEC" w:rsidR="00B73351" w:rsidRPr="001F0FF2" w:rsidRDefault="00B7335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(Prosecutor’s Application for a Warrant of Arrest) ICC-02/05-157-AnxA (14 July 2008) para 175-176; Svetah Chakhmakhchyan and Edgar Meyroyan, ‘Slow-Burn Destruction: Reading “Conditions of Life” into Twenty-First Century Genocide’ (2025) 10 </w:t>
      </w:r>
      <w:r w:rsidRPr="001F0FF2">
        <w:rPr>
          <w:rStyle w:val="Nadruk"/>
          <w:rFonts w:cs="Times New Roman"/>
        </w:rPr>
        <w:t>International Journal of Armenian Genocide Studies</w:t>
      </w:r>
      <w:r w:rsidRPr="001F0FF2">
        <w:rPr>
          <w:rFonts w:cs="Times New Roman"/>
        </w:rPr>
        <w:t xml:space="preserve"> 102.</w:t>
      </w:r>
    </w:p>
  </w:footnote>
  <w:footnote w:id="71">
    <w:p w14:paraId="0E2CBDCE" w14:textId="55DBA407" w:rsidR="00A4790D" w:rsidRPr="001F0FF2" w:rsidRDefault="00A4790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nl-NL"/>
        </w:rPr>
        <w:t xml:space="preserve">Art 35 (3) </w:t>
      </w:r>
      <w:r w:rsidRPr="001F0FF2">
        <w:rPr>
          <w:rFonts w:cs="Times New Roman"/>
        </w:rPr>
        <w:t>Protocol Additional to the Geneva Conventions of 12 August 1949, and relating to the Protection of Victims of International Armed Conflicts (Protocol I), adopted 8 June 1977, 1125 UNTS 3.</w:t>
      </w:r>
    </w:p>
  </w:footnote>
  <w:footnote w:id="72">
    <w:p w14:paraId="5E94985A" w14:textId="5B4A063B" w:rsidR="004B21F2" w:rsidRPr="001F0FF2" w:rsidRDefault="004B21F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nl-NL"/>
        </w:rPr>
        <w:t xml:space="preserve">Art 55 </w:t>
      </w:r>
      <w:r w:rsidRPr="001F0FF2">
        <w:rPr>
          <w:rFonts w:cs="Times New Roman"/>
        </w:rPr>
        <w:t>Protocol Additional to the Geneva Conventions of 12 August 1949, and relating to the Protection of Victims of International Armed Conflicts (Protocol I), adopted 8 June 1977, 1125 UNTS 3.</w:t>
      </w:r>
    </w:p>
  </w:footnote>
  <w:footnote w:id="73">
    <w:p w14:paraId="56D1D285" w14:textId="1804C379" w:rsidR="00145221" w:rsidRPr="001F0FF2" w:rsidRDefault="0014522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Michael Bothe, Carl Bruch, Jordan Diamond and David Jensen, ‘International Law Protecting the Environment during Armed Conflict: Gaps and Opportunities’ (2010) 92 </w:t>
      </w:r>
      <w:r w:rsidRPr="001F0FF2">
        <w:rPr>
          <w:rStyle w:val="Nadruk"/>
          <w:rFonts w:cs="Times New Roman"/>
        </w:rPr>
        <w:t xml:space="preserve">International Review of the Red Cross </w:t>
      </w:r>
      <w:r w:rsidRPr="001F0FF2">
        <w:rPr>
          <w:rStyle w:val="Nadruk"/>
          <w:rFonts w:cs="Times New Roman"/>
          <w:i w:val="0"/>
          <w:iCs w:val="0"/>
        </w:rPr>
        <w:t>572.</w:t>
      </w:r>
    </w:p>
  </w:footnote>
  <w:footnote w:id="74">
    <w:p w14:paraId="6B7AB486" w14:textId="6110EA45" w:rsidR="001E7EDF" w:rsidRPr="001F0FF2" w:rsidRDefault="001E7ED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Fausto Pocar, ‘To What Extent Is Protocol I Customary International Law?’ (2002) 78 </w:t>
      </w:r>
      <w:r w:rsidRPr="001F0FF2">
        <w:rPr>
          <w:rStyle w:val="Nadruk"/>
          <w:rFonts w:cs="Times New Roman"/>
        </w:rPr>
        <w:t>International Law Studies</w:t>
      </w:r>
      <w:r w:rsidRPr="001F0FF2">
        <w:rPr>
          <w:rFonts w:cs="Times New Roman"/>
        </w:rPr>
        <w:t xml:space="preserve"> 337, 349.</w:t>
      </w:r>
    </w:p>
  </w:footnote>
  <w:footnote w:id="75">
    <w:p w14:paraId="1ED42FA5" w14:textId="77777777" w:rsidR="008B59B9" w:rsidRPr="001F0FF2" w:rsidRDefault="008B59B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ILC, </w:t>
      </w:r>
      <w:r w:rsidRPr="001F0FF2">
        <w:rPr>
          <w:rStyle w:val="Nadruk"/>
          <w:rFonts w:cs="Times New Roman"/>
        </w:rPr>
        <w:t>Draft Conclusions on Identification of Customary International Law with Commentaries</w:t>
      </w:r>
      <w:r w:rsidRPr="001F0FF2">
        <w:rPr>
          <w:rFonts w:cs="Times New Roman"/>
        </w:rPr>
        <w:t xml:space="preserve"> (2018) UN Doc A/73/10, conclusion 15 and commentary, para 9-11.</w:t>
      </w:r>
    </w:p>
  </w:footnote>
  <w:footnote w:id="76">
    <w:p w14:paraId="5576F1F9" w14:textId="0B2A9042" w:rsidR="001E7EDF" w:rsidRPr="001F0FF2" w:rsidRDefault="001E7ED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D71FF2" w:rsidRPr="001F0FF2">
        <w:rPr>
          <w:rFonts w:cs="Times New Roman"/>
          <w:i/>
          <w:iCs/>
        </w:rPr>
        <w:t>North Sea Continental Shelf Cases</w:t>
      </w:r>
      <w:r w:rsidR="00D71FF2" w:rsidRPr="001F0FF2">
        <w:rPr>
          <w:rFonts w:cs="Times New Roman"/>
        </w:rPr>
        <w:t xml:space="preserve"> (</w:t>
      </w:r>
      <w:r w:rsidR="00D71FF2" w:rsidRPr="001F0FF2">
        <w:rPr>
          <w:rFonts w:cs="Times New Roman"/>
          <w:i/>
          <w:iCs/>
        </w:rPr>
        <w:t>Federal Republic of Germany v Denmark; Federal Republic of Germany v Netherlands</w:t>
      </w:r>
      <w:r w:rsidR="00D71FF2" w:rsidRPr="001F0FF2">
        <w:rPr>
          <w:rFonts w:cs="Times New Roman"/>
        </w:rPr>
        <w:t xml:space="preserve">) [1969] ICJ Rep 3, paras 74-77; </w:t>
      </w:r>
      <w:r w:rsidR="00D71FF2" w:rsidRPr="001F0FF2">
        <w:rPr>
          <w:rFonts w:cs="Times New Roman"/>
          <w:i/>
          <w:iCs/>
        </w:rPr>
        <w:t>Fisheries Case</w:t>
      </w:r>
      <w:r w:rsidR="00D71FF2" w:rsidRPr="001F0FF2">
        <w:rPr>
          <w:rFonts w:cs="Times New Roman"/>
        </w:rPr>
        <w:t xml:space="preserve"> (</w:t>
      </w:r>
      <w:r w:rsidR="00D71FF2" w:rsidRPr="001F0FF2">
        <w:rPr>
          <w:rFonts w:cs="Times New Roman"/>
          <w:i/>
          <w:iCs/>
        </w:rPr>
        <w:t>United Kingdom v Norway</w:t>
      </w:r>
      <w:r w:rsidR="00D71FF2" w:rsidRPr="001F0FF2">
        <w:rPr>
          <w:rFonts w:cs="Times New Roman"/>
        </w:rPr>
        <w:t xml:space="preserve">) [1951] ICJ Rep 116, 131-139; </w:t>
      </w:r>
      <w:r w:rsidRPr="001F0FF2">
        <w:rPr>
          <w:rFonts w:cs="Times New Roman"/>
        </w:rPr>
        <w:t xml:space="preserve">International Committee of the Red Cross (ICRC), </w:t>
      </w:r>
      <w:r w:rsidRPr="001F0FF2">
        <w:rPr>
          <w:rStyle w:val="Nadruk"/>
          <w:rFonts w:cs="Times New Roman"/>
        </w:rPr>
        <w:t>Guidelines on the Protection of the Natural Environment in Armed Conflict</w:t>
      </w:r>
      <w:r w:rsidRPr="001F0FF2">
        <w:rPr>
          <w:rFonts w:cs="Times New Roman"/>
        </w:rPr>
        <w:t>, Geneva, 2020, 27</w:t>
      </w:r>
      <w:r w:rsidR="00783191" w:rsidRPr="001F0FF2">
        <w:rPr>
          <w:rFonts w:cs="Times New Roman"/>
        </w:rPr>
        <w:t xml:space="preserve">; G. </w:t>
      </w:r>
      <w:r w:rsidR="00783191" w:rsidRPr="001F0FF2">
        <w:rPr>
          <w:rFonts w:cs="Times New Roman"/>
        </w:rPr>
        <w:t xml:space="preserve">HERNANDEZ, </w:t>
      </w:r>
      <w:r w:rsidR="00783191" w:rsidRPr="001F0FF2">
        <w:rPr>
          <w:rFonts w:cs="Times New Roman"/>
          <w:i/>
          <w:iCs/>
        </w:rPr>
        <w:t xml:space="preserve">International </w:t>
      </w:r>
      <w:r w:rsidR="00783191" w:rsidRPr="001F0FF2">
        <w:rPr>
          <w:rFonts w:cs="Times New Roman"/>
        </w:rPr>
        <w:t xml:space="preserve">Law, Oxford, Oxford </w:t>
      </w:r>
      <w:r w:rsidR="00783191" w:rsidRPr="001F0FF2">
        <w:rPr>
          <w:rFonts w:cs="Times New Roman"/>
        </w:rPr>
        <w:t>University Press, 2025, 39</w:t>
      </w:r>
      <w:r w:rsidR="00762E9E" w:rsidRPr="001F0FF2">
        <w:rPr>
          <w:rFonts w:cs="Times New Roman"/>
        </w:rPr>
        <w:t>-</w:t>
      </w:r>
      <w:r w:rsidR="00783191" w:rsidRPr="001F0FF2">
        <w:rPr>
          <w:rFonts w:cs="Times New Roman"/>
        </w:rPr>
        <w:t>42.</w:t>
      </w:r>
    </w:p>
  </w:footnote>
  <w:footnote w:id="77">
    <w:p w14:paraId="037CC6D1" w14:textId="32E99C9E" w:rsidR="00D44BF0" w:rsidRPr="001F0FF2" w:rsidRDefault="00D44BF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Protocol Additional to the Geneva Conventions of 12 August 1949, and relating to the Protection of Victims of International Armed Conflicts (Protocol I), adopted 8 June 1977, 1125 UNTS 3</w:t>
      </w:r>
      <w:r w:rsidR="001B564E" w:rsidRPr="001F0FF2">
        <w:rPr>
          <w:rFonts w:cs="Times New Roman"/>
        </w:rPr>
        <w:t xml:space="preserve">, </w:t>
      </w:r>
      <w:r w:rsidR="001B564E" w:rsidRPr="001F0FF2">
        <w:rPr>
          <w:rFonts w:cs="Times New Roman"/>
          <w:lang w:val="nl-NL"/>
        </w:rPr>
        <w:t>a</w:t>
      </w:r>
      <w:r w:rsidR="001B564E" w:rsidRPr="001F0FF2">
        <w:rPr>
          <w:rFonts w:cs="Times New Roman"/>
          <w:lang w:val="nl-NL"/>
        </w:rPr>
        <w:t>rt 35 (3)</w:t>
      </w:r>
      <w:r w:rsidR="00783191" w:rsidRPr="001F0FF2">
        <w:rPr>
          <w:rFonts w:cs="Times New Roman"/>
        </w:rPr>
        <w:t>.</w:t>
      </w:r>
    </w:p>
  </w:footnote>
  <w:footnote w:id="78">
    <w:p w14:paraId="6E546AE5" w14:textId="751C5B6D" w:rsidR="003F5DFF" w:rsidRPr="001F0FF2" w:rsidRDefault="003F5DF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B564E" w:rsidRPr="001F0FF2">
        <w:rPr>
          <w:rFonts w:cs="Times New Roman"/>
          <w:i/>
          <w:iCs/>
        </w:rPr>
        <w:t>Ibid</w:t>
      </w:r>
      <w:r w:rsidR="001B564E" w:rsidRPr="001F0FF2">
        <w:rPr>
          <w:rFonts w:cs="Times New Roman"/>
        </w:rPr>
        <w:t>.</w:t>
      </w:r>
    </w:p>
  </w:footnote>
  <w:footnote w:id="79">
    <w:p w14:paraId="4A6924F9" w14:textId="131FC0FF" w:rsidR="00D44BF0" w:rsidRPr="001F0FF2" w:rsidRDefault="00D44BF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A05F7B" w:rsidRPr="001F0FF2">
        <w:rPr>
          <w:rFonts w:cs="Times New Roman"/>
        </w:rPr>
        <w:t xml:space="preserve">Saeed Bagheri and Gerhard Kemp, ‘Damage to and Destruction of the Natural Environment: Terraforming Warfare in Gaza and Accountability for Ecocentric Crimes’ (2024) </w:t>
      </w:r>
      <w:r w:rsidR="00A05F7B" w:rsidRPr="001F0FF2">
        <w:rPr>
          <w:rStyle w:val="Nadruk"/>
          <w:rFonts w:cs="Times New Roman"/>
        </w:rPr>
        <w:t>Journal of International Criminal Justice</w:t>
      </w:r>
      <w:r w:rsidR="00AA4DCC" w:rsidRPr="001F0FF2">
        <w:rPr>
          <w:rFonts w:cs="Times New Roman"/>
        </w:rPr>
        <w:t xml:space="preserve">, 436; </w:t>
      </w:r>
      <w:r w:rsidR="00A05F7B" w:rsidRPr="001F0FF2">
        <w:rPr>
          <w:rFonts w:cs="Times New Roman"/>
        </w:rPr>
        <w:t xml:space="preserve">International Committee of the Red Cross, </w:t>
      </w:r>
      <w:r w:rsidR="00A05F7B" w:rsidRPr="001F0FF2">
        <w:rPr>
          <w:rFonts w:cs="Times New Roman"/>
          <w:i/>
          <w:iCs/>
        </w:rPr>
        <w:t>Commentary on the Additional Protocols of 8 June 1977 to the Geneva Conventions of 12 August 1949</w:t>
      </w:r>
      <w:r w:rsidR="00A05F7B" w:rsidRPr="001F0FF2">
        <w:rPr>
          <w:rFonts w:cs="Times New Roman"/>
        </w:rPr>
        <w:t xml:space="preserve"> (ICRC 1987) para 1452 https://ihl-databases.icrc.org/en/ihl-treaties/api-1977/article-35/commentary/1987 accessed 19 Mai 2026</w:t>
      </w:r>
      <w:r w:rsidR="00AA4DCC" w:rsidRPr="001F0FF2">
        <w:rPr>
          <w:rFonts w:cs="Times New Roman"/>
        </w:rPr>
        <w:t xml:space="preserve">; </w:t>
      </w:r>
      <w:r w:rsidR="001B564E" w:rsidRPr="001F0FF2">
        <w:rPr>
          <w:rStyle w:val="Nadruk"/>
          <w:rFonts w:cs="Times New Roman"/>
          <w:i w:val="0"/>
          <w:iCs w:val="0"/>
        </w:rPr>
        <w:t>UNEP,</w:t>
      </w:r>
      <w:r w:rsidR="00AA4DCC" w:rsidRPr="001F0FF2">
        <w:rPr>
          <w:rStyle w:val="Nadruk"/>
          <w:rFonts w:cs="Times New Roman"/>
        </w:rPr>
        <w:t>, Protecting the Environment During Armed Conflict: An Inventory and Analysis of International Law</w:t>
      </w:r>
      <w:r w:rsidR="00AA4DCC" w:rsidRPr="001F0FF2">
        <w:rPr>
          <w:rFonts w:cs="Times New Roman"/>
        </w:rPr>
        <w:t xml:space="preserve"> (UNEP 2009), 11.</w:t>
      </w:r>
    </w:p>
  </w:footnote>
  <w:footnote w:id="80">
    <w:p w14:paraId="313AAEC8" w14:textId="4405C1C9" w:rsidR="004B21F2" w:rsidRPr="001F0FF2" w:rsidRDefault="004B21F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B564E" w:rsidRPr="001F0FF2">
        <w:rPr>
          <w:rStyle w:val="Nadruk"/>
          <w:rFonts w:cs="Times New Roman"/>
          <w:i w:val="0"/>
          <w:iCs w:val="0"/>
        </w:rPr>
        <w:t>UNEP</w:t>
      </w:r>
      <w:r w:rsidRPr="001F0FF2">
        <w:rPr>
          <w:rStyle w:val="Nadruk"/>
          <w:rFonts w:cs="Times New Roman"/>
        </w:rPr>
        <w:t>, Protecting the Environment During Armed Conflict: An Inventory and Analysis of International Law</w:t>
      </w:r>
      <w:r w:rsidRPr="001F0FF2">
        <w:rPr>
          <w:rFonts w:cs="Times New Roman"/>
        </w:rPr>
        <w:t xml:space="preserve"> (UNEP 2009), 4</w:t>
      </w:r>
      <w:r w:rsidR="00EF356D">
        <w:rPr>
          <w:rFonts w:cs="Times New Roman"/>
        </w:rPr>
        <w:t>.</w:t>
      </w:r>
    </w:p>
  </w:footnote>
  <w:footnote w:id="81">
    <w:p w14:paraId="7F09BA07" w14:textId="32373618" w:rsidR="003C37FB" w:rsidRPr="001F0FF2" w:rsidRDefault="003C37F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Convention on the Prohibition of Military or Any Other Hostile Use of Environmental Modification Techniques (opened for signature 18 May 1977, entered into force 5 October 1978) 1108 UNTS 151</w:t>
      </w:r>
      <w:r w:rsidR="001B564E" w:rsidRPr="001F0FF2">
        <w:rPr>
          <w:rFonts w:cs="Times New Roman"/>
        </w:rPr>
        <w:t>.</w:t>
      </w:r>
    </w:p>
  </w:footnote>
  <w:footnote w:id="82">
    <w:p w14:paraId="0C62AEC9" w14:textId="115087A7" w:rsidR="000F3478" w:rsidRPr="001F0FF2" w:rsidRDefault="000F347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Convention on the Prohibition of Military or Any Other Hostile Use of Environmental Modification Techniques (opened for signature 18 May 1977, entered into force 5 October 1978) 1108 UNTS 151</w:t>
      </w:r>
      <w:r w:rsidR="001B564E" w:rsidRPr="001F0FF2">
        <w:rPr>
          <w:rFonts w:cs="Times New Roman"/>
        </w:rPr>
        <w:t xml:space="preserve">, </w:t>
      </w:r>
      <w:r w:rsidR="001B564E" w:rsidRPr="001F0FF2">
        <w:rPr>
          <w:rFonts w:cs="Times New Roman"/>
          <w:lang w:val="nl-NL"/>
        </w:rPr>
        <w:t>a</w:t>
      </w:r>
      <w:r w:rsidR="001B564E" w:rsidRPr="001F0FF2">
        <w:rPr>
          <w:rFonts w:cs="Times New Roman"/>
          <w:lang w:val="nl-NL"/>
        </w:rPr>
        <w:t>rt 1</w:t>
      </w:r>
      <w:r w:rsidR="001B564E" w:rsidRPr="001F0FF2">
        <w:rPr>
          <w:rFonts w:cs="Times New Roman"/>
          <w:lang w:val="nl-NL"/>
        </w:rPr>
        <w:t>.</w:t>
      </w:r>
    </w:p>
  </w:footnote>
  <w:footnote w:id="83">
    <w:p w14:paraId="64015724" w14:textId="3367B5DF" w:rsidR="0093684C" w:rsidRPr="001F0FF2" w:rsidRDefault="0093684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4E144F" w:rsidRPr="001F0FF2">
        <w:rPr>
          <w:rFonts w:cs="Times New Roman"/>
        </w:rPr>
        <w:t xml:space="preserve">Jean-Marie Henckaerts, Louise Doswald-Beck, Carolin Alvermann, Knut Dörmann and Baptiste Rolle, </w:t>
      </w:r>
      <w:r w:rsidR="004E144F" w:rsidRPr="001F0FF2">
        <w:rPr>
          <w:rStyle w:val="Nadruk"/>
          <w:rFonts w:cs="Times New Roman"/>
        </w:rPr>
        <w:t>Customary International Humanitarian Law</w:t>
      </w:r>
      <w:r w:rsidR="004E144F" w:rsidRPr="001F0FF2">
        <w:rPr>
          <w:rFonts w:cs="Times New Roman"/>
        </w:rPr>
        <w:t xml:space="preserve"> (Cambridge University Press 2005) 155.</w:t>
      </w:r>
    </w:p>
  </w:footnote>
  <w:footnote w:id="84">
    <w:p w14:paraId="49DDC35A" w14:textId="1977FDF1" w:rsidR="004E144F" w:rsidRPr="001F0FF2" w:rsidRDefault="004E144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r w:rsidRPr="001F0FF2">
        <w:rPr>
          <w:rFonts w:cs="Times New Roman"/>
          <w:lang w:val="nl-NL"/>
        </w:rPr>
        <w:t>.</w:t>
      </w:r>
    </w:p>
  </w:footnote>
  <w:footnote w:id="85">
    <w:p w14:paraId="1944EF03" w14:textId="2FE87890" w:rsidR="003C37FB" w:rsidRPr="001F0FF2" w:rsidRDefault="003C37F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B564E" w:rsidRPr="001F0FF2">
        <w:rPr>
          <w:rStyle w:val="Nadruk"/>
          <w:rFonts w:cs="Times New Roman"/>
          <w:i w:val="0"/>
          <w:iCs w:val="0"/>
        </w:rPr>
        <w:t>UNEP</w:t>
      </w:r>
      <w:r w:rsidRPr="001F0FF2">
        <w:rPr>
          <w:rStyle w:val="Nadruk"/>
          <w:rFonts w:cs="Times New Roman"/>
        </w:rPr>
        <w:t>, Protecting the Environment During Armed Conflict: An Inventory and Analysis of International Law</w:t>
      </w:r>
      <w:r w:rsidRPr="001F0FF2">
        <w:rPr>
          <w:rFonts w:cs="Times New Roman"/>
        </w:rPr>
        <w:t xml:space="preserve"> (UNEP 2009), 12</w:t>
      </w:r>
      <w:r w:rsidR="000F3478" w:rsidRPr="001F0FF2">
        <w:rPr>
          <w:rFonts w:cs="Times New Roman"/>
        </w:rPr>
        <w:t xml:space="preserve">; </w:t>
      </w:r>
      <w:r w:rsidR="004E144F" w:rsidRPr="001F0FF2">
        <w:rPr>
          <w:rFonts w:cs="Times New Roman"/>
        </w:rPr>
        <w:t xml:space="preserve">Jean-Marie Henckaerts, Louise Doswald-Beck, Carolin Alvermann, Knut Dörmann and Baptiste Rolle, </w:t>
      </w:r>
      <w:r w:rsidR="004E144F" w:rsidRPr="001F0FF2">
        <w:rPr>
          <w:rStyle w:val="Nadruk"/>
          <w:rFonts w:cs="Times New Roman"/>
        </w:rPr>
        <w:t>Customary International Humanitarian Law</w:t>
      </w:r>
      <w:r w:rsidR="004E144F" w:rsidRPr="001F0FF2">
        <w:rPr>
          <w:rFonts w:cs="Times New Roman"/>
        </w:rPr>
        <w:t xml:space="preserve"> (Cambridge University Press 2005) 155.</w:t>
      </w:r>
    </w:p>
  </w:footnote>
  <w:footnote w:id="86">
    <w:p w14:paraId="384E6CE8" w14:textId="650241FB" w:rsidR="00134A44" w:rsidRPr="001F0FF2" w:rsidRDefault="00134A4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Legality of the Threat or Use of Nuclear Weapons</w:t>
      </w:r>
      <w:r w:rsidRPr="001F0FF2">
        <w:rPr>
          <w:rFonts w:cs="Times New Roman"/>
        </w:rPr>
        <w:t xml:space="preserve">, Advisory Opinion, ICJ Reports 1996, para. </w:t>
      </w:r>
      <w:r w:rsidRPr="001F0FF2">
        <w:rPr>
          <w:rFonts w:cs="Times New Roman"/>
        </w:rPr>
        <w:t xml:space="preserve">29; </w:t>
      </w:r>
      <w:r w:rsidR="001B564E" w:rsidRPr="001F0FF2">
        <w:rPr>
          <w:rFonts w:cs="Times New Roman"/>
        </w:rPr>
        <w:t>ICRC,</w:t>
      </w:r>
      <w:r w:rsidRPr="001F0FF2">
        <w:rPr>
          <w:rFonts w:cs="Times New Roman"/>
        </w:rPr>
        <w:t xml:space="preserve"> </w:t>
      </w:r>
      <w:r w:rsidRPr="001F0FF2">
        <w:rPr>
          <w:rStyle w:val="Nadruk"/>
          <w:rFonts w:cs="Times New Roman"/>
        </w:rPr>
        <w:t>Guidelines on the Protection of the Natural Environment in Armed Conflict</w:t>
      </w:r>
      <w:r w:rsidRPr="001F0FF2">
        <w:rPr>
          <w:rFonts w:cs="Times New Roman"/>
        </w:rPr>
        <w:t xml:space="preserve"> (2020), 11; J</w:t>
      </w:r>
      <w:r w:rsidR="001B564E" w:rsidRPr="001F0FF2">
        <w:rPr>
          <w:rFonts w:cs="Times New Roman"/>
        </w:rPr>
        <w:t>ean-Marie</w:t>
      </w:r>
      <w:r w:rsidRPr="001F0FF2">
        <w:rPr>
          <w:rFonts w:cs="Times New Roman"/>
        </w:rPr>
        <w:t xml:space="preserve"> Henckaerts and </w:t>
      </w:r>
      <w:r w:rsidR="001B564E" w:rsidRPr="001F0FF2">
        <w:rPr>
          <w:rFonts w:cs="Times New Roman"/>
        </w:rPr>
        <w:t>Louise</w:t>
      </w:r>
      <w:r w:rsidRPr="001F0FF2">
        <w:rPr>
          <w:rFonts w:cs="Times New Roman"/>
        </w:rPr>
        <w:t xml:space="preserve"> Doswald-Beck, </w:t>
      </w:r>
      <w:r w:rsidRPr="001F0FF2">
        <w:rPr>
          <w:rStyle w:val="Nadruk"/>
          <w:rFonts w:cs="Times New Roman"/>
        </w:rPr>
        <w:t>Customary International Humanitarian Law</w:t>
      </w:r>
      <w:r w:rsidRPr="001F0FF2">
        <w:rPr>
          <w:rFonts w:cs="Times New Roman"/>
        </w:rPr>
        <w:t>, Volume I: Rules (Cambridge University Press 2005) Rules 53-54.</w:t>
      </w:r>
    </w:p>
  </w:footnote>
  <w:footnote w:id="87">
    <w:p w14:paraId="137DCA4B" w14:textId="3407A162"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B564E" w:rsidRPr="001F0FF2">
        <w:rPr>
          <w:rStyle w:val="Nadruk"/>
          <w:rFonts w:cs="Times New Roman"/>
        </w:rPr>
        <w:t>Prosecutor v Akayesu</w:t>
      </w:r>
      <w:r w:rsidR="001B564E" w:rsidRPr="001F0FF2">
        <w:rPr>
          <w:rFonts w:cs="Times New Roman"/>
        </w:rPr>
        <w:t xml:space="preserve"> (Judgment) ICTR-96-4-T (2 September 1998) paras 505</w:t>
      </w:r>
      <w:r w:rsidR="001B564E" w:rsidRPr="001F0FF2">
        <w:rPr>
          <w:rFonts w:cs="Times New Roman"/>
        </w:rPr>
        <w:t>-</w:t>
      </w:r>
      <w:r w:rsidR="001B564E" w:rsidRPr="001F0FF2">
        <w:rPr>
          <w:rFonts w:cs="Times New Roman"/>
        </w:rPr>
        <w:t xml:space="preserve">506; </w:t>
      </w:r>
      <w:r w:rsidR="001B564E" w:rsidRPr="001F0FF2">
        <w:rPr>
          <w:rStyle w:val="Nadruk"/>
          <w:rFonts w:cs="Times New Roman"/>
        </w:rPr>
        <w:t>Prosecutor v Stakić</w:t>
      </w:r>
      <w:r w:rsidR="001B564E" w:rsidRPr="001F0FF2">
        <w:rPr>
          <w:rFonts w:cs="Times New Roman"/>
        </w:rPr>
        <w:t xml:space="preserve"> (Judgment) IT-97-24-T (31 July 2003) para 516.</w:t>
      </w:r>
    </w:p>
  </w:footnote>
  <w:footnote w:id="88">
    <w:p w14:paraId="5BC66740" w14:textId="15DAC24F"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A27D7" w:rsidRPr="001F0FF2">
        <w:rPr>
          <w:rStyle w:val="Nadruk"/>
          <w:rFonts w:cs="Times New Roman"/>
        </w:rPr>
        <w:t>Prosecutor v Blagojević and Jokić</w:t>
      </w:r>
      <w:r w:rsidR="009A27D7" w:rsidRPr="001F0FF2">
        <w:rPr>
          <w:rFonts w:cs="Times New Roman"/>
        </w:rPr>
        <w:t xml:space="preserve"> (Judgment) IT-02-60-T (17 January 2005) paras 646</w:t>
      </w:r>
      <w:r w:rsidR="009A27D7" w:rsidRPr="001F0FF2">
        <w:rPr>
          <w:rFonts w:cs="Times New Roman"/>
        </w:rPr>
        <w:t>-</w:t>
      </w:r>
      <w:r w:rsidR="009A27D7" w:rsidRPr="001F0FF2">
        <w:rPr>
          <w:rFonts w:cs="Times New Roman"/>
        </w:rPr>
        <w:t>647.</w:t>
      </w:r>
    </w:p>
  </w:footnote>
  <w:footnote w:id="89">
    <w:p w14:paraId="6573F171" w14:textId="18BA3999"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A27D7" w:rsidRPr="001F0FF2">
        <w:rPr>
          <w:rFonts w:cs="Times New Roman"/>
        </w:rPr>
        <w:t>Convention on the Prevention and Punishment of the Crime of Genocide (adopted 9 December 1948, entered into force 12 January 1951) 78 UNTS 277 art II(a)</w:t>
      </w:r>
      <w:r w:rsidR="009A27D7" w:rsidRPr="001F0FF2">
        <w:rPr>
          <w:rFonts w:cs="Times New Roman"/>
        </w:rPr>
        <w:t>.</w:t>
      </w:r>
    </w:p>
  </w:footnote>
  <w:footnote w:id="90">
    <w:p w14:paraId="2C026B2C"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Stakić</w:t>
      </w:r>
      <w:r w:rsidRPr="001F0FF2">
        <w:rPr>
          <w:rFonts w:cs="Times New Roman"/>
        </w:rPr>
        <w:t xml:space="preserve"> IT-97-24-T (ICTY Trial Chamber, 31 July 2003) paras 517-518; </w:t>
      </w:r>
      <w:r w:rsidRPr="001F0FF2">
        <w:rPr>
          <w:rFonts w:cs="Times New Roman"/>
          <w:i/>
          <w:iCs/>
        </w:rPr>
        <w:t>Application of the Convention on the Prevention and Punishment of the Crime of Genocide</w:t>
      </w:r>
      <w:r w:rsidRPr="001F0FF2">
        <w:rPr>
          <w:rFonts w:cs="Times New Roman"/>
        </w:rPr>
        <w:t xml:space="preserve"> (</w:t>
      </w:r>
      <w:r w:rsidRPr="001F0FF2">
        <w:rPr>
          <w:rFonts w:cs="Times New Roman"/>
          <w:i/>
          <w:iCs/>
        </w:rPr>
        <w:t>Croatia v Serbia</w:t>
      </w:r>
      <w:r w:rsidRPr="001F0FF2">
        <w:rPr>
          <w:rFonts w:cs="Times New Roman"/>
        </w:rPr>
        <w:t>), Judgment, [2015] ICJ Rep 3, para 161.</w:t>
      </w:r>
    </w:p>
  </w:footnote>
  <w:footnote w:id="91">
    <w:p w14:paraId="73D638C5" w14:textId="6F7C712E"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A27D7" w:rsidRPr="001F0FF2">
        <w:rPr>
          <w:rFonts w:cs="Times New Roman"/>
        </w:rPr>
        <w:t>Convention on the Prevention and Punishment of the Crime of Genocide (adopted 9 December 1948, entered into force 12 January 1951) 78 UNTS 277 art II(</w:t>
      </w:r>
      <w:r w:rsidR="009A27D7" w:rsidRPr="001F0FF2">
        <w:rPr>
          <w:rFonts w:cs="Times New Roman"/>
        </w:rPr>
        <w:t>c</w:t>
      </w:r>
      <w:r w:rsidR="009A27D7" w:rsidRPr="001F0FF2">
        <w:rPr>
          <w:rFonts w:cs="Times New Roman"/>
        </w:rPr>
        <w:t>)</w:t>
      </w:r>
      <w:r w:rsidRPr="001F0FF2">
        <w:rPr>
          <w:rFonts w:cs="Times New Roman"/>
        </w:rPr>
        <w:t>.</w:t>
      </w:r>
    </w:p>
  </w:footnote>
  <w:footnote w:id="92">
    <w:p w14:paraId="7C4CC9D6"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 xml:space="preserve">Application of the International Convention on the Elimination of All Forms of Racial Discrimination </w:t>
      </w:r>
      <w:r w:rsidRPr="001F0FF2">
        <w:rPr>
          <w:rFonts w:cs="Times New Roman"/>
        </w:rPr>
        <w:t>(</w:t>
      </w:r>
      <w:r w:rsidRPr="001F0FF2">
        <w:rPr>
          <w:rFonts w:cs="Times New Roman"/>
          <w:i/>
          <w:iCs/>
        </w:rPr>
        <w:t>Armenia v Azerbaijan</w:t>
      </w:r>
      <w:r w:rsidRPr="001F0FF2">
        <w:rPr>
          <w:rFonts w:cs="Times New Roman"/>
        </w:rPr>
        <w:t>) (Order) [2023] ICJ Rep 619, para 25.</w:t>
      </w:r>
    </w:p>
  </w:footnote>
  <w:footnote w:id="93">
    <w:p w14:paraId="28E802B7"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 xml:space="preserve">Application of the International Convention on the Elimination of All Forms of Racial Discrimination </w:t>
      </w:r>
      <w:r w:rsidRPr="001F0FF2">
        <w:rPr>
          <w:rFonts w:cs="Times New Roman"/>
        </w:rPr>
        <w:t>(</w:t>
      </w:r>
      <w:r w:rsidRPr="001F0FF2">
        <w:rPr>
          <w:rFonts w:cs="Times New Roman"/>
          <w:i/>
          <w:iCs/>
        </w:rPr>
        <w:t>Armenia v Azerbaijan</w:t>
      </w:r>
      <w:r w:rsidRPr="001F0FF2">
        <w:rPr>
          <w:rFonts w:cs="Times New Roman"/>
        </w:rPr>
        <w:t>) (Order) [2023] ICJ Rep 619, para 57.</w:t>
      </w:r>
    </w:p>
  </w:footnote>
  <w:footnote w:id="94">
    <w:p w14:paraId="67BCF694"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 505.</w:t>
      </w:r>
    </w:p>
  </w:footnote>
  <w:footnote w:id="95">
    <w:p w14:paraId="574C6C46"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 506.</w:t>
      </w:r>
    </w:p>
  </w:footnote>
  <w:footnote w:id="96">
    <w:p w14:paraId="29E29179" w14:textId="77777777"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Martin Crook, Damien Short and Nigel South, ‘Ecocide, Genocide, Capitalism and Colonialism: Consequences for Indigenous Peoples and Glocal Ecosystems Environments’ (2018) 22(3) </w:t>
      </w:r>
      <w:r w:rsidRPr="001F0FF2">
        <w:rPr>
          <w:rStyle w:val="Nadruk"/>
          <w:rFonts w:cs="Times New Roman"/>
        </w:rPr>
        <w:t>Theoretical Criminology</w:t>
      </w:r>
      <w:r w:rsidRPr="001F0FF2">
        <w:rPr>
          <w:rFonts w:cs="Times New Roman"/>
        </w:rPr>
        <w:t xml:space="preserve"> 298, 299-300.</w:t>
      </w:r>
    </w:p>
  </w:footnote>
  <w:footnote w:id="97">
    <w:p w14:paraId="73F392D7" w14:textId="767DDA2F" w:rsidR="001D4027" w:rsidRPr="001F0FF2" w:rsidRDefault="001D40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A27D7" w:rsidRPr="001F0FF2">
        <w:rPr>
          <w:rStyle w:val="Nadruk"/>
          <w:rFonts w:cs="Times New Roman"/>
        </w:rPr>
        <w:t>Prosecutor v Jelisić</w:t>
      </w:r>
      <w:r w:rsidR="009A27D7" w:rsidRPr="001F0FF2">
        <w:rPr>
          <w:rFonts w:cs="Times New Roman"/>
        </w:rPr>
        <w:t xml:space="preserve"> (Appeal Judgment) IT-95-10-A (5 July 2001) paras 47</w:t>
      </w:r>
      <w:r w:rsidR="009A27D7" w:rsidRPr="001F0FF2">
        <w:rPr>
          <w:rFonts w:cs="Times New Roman"/>
        </w:rPr>
        <w:t>-</w:t>
      </w:r>
      <w:r w:rsidR="009A27D7" w:rsidRPr="001F0FF2">
        <w:rPr>
          <w:rFonts w:cs="Times New Roman"/>
        </w:rPr>
        <w:t>48.</w:t>
      </w:r>
    </w:p>
  </w:footnote>
  <w:footnote w:id="98">
    <w:p w14:paraId="4C846EC2" w14:textId="34E7AFCF" w:rsidR="00B84D88" w:rsidRPr="001F0FF2" w:rsidRDefault="00B84D8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A27D7" w:rsidRPr="001F0FF2">
        <w:rPr>
          <w:rFonts w:cs="Times New Roman"/>
        </w:rPr>
        <w:t>Vienna Convention on the Law of Treaties (adopted 23 May 1969, entered into force 27 January 1980) 1155 UNTS 331</w:t>
      </w:r>
      <w:r w:rsidR="009A27D7" w:rsidRPr="001F0FF2">
        <w:rPr>
          <w:rFonts w:cs="Times New Roman"/>
        </w:rPr>
        <w:t>,</w:t>
      </w:r>
      <w:r w:rsidR="009A27D7" w:rsidRPr="001F0FF2">
        <w:rPr>
          <w:rFonts w:cs="Times New Roman"/>
        </w:rPr>
        <w:t xml:space="preserve"> art 31.</w:t>
      </w:r>
    </w:p>
  </w:footnote>
  <w:footnote w:id="99">
    <w:p w14:paraId="34AD2784" w14:textId="2544E8B6" w:rsidR="00C66928" w:rsidRPr="001F0FF2" w:rsidRDefault="00C66928" w:rsidP="00C06674">
      <w:pPr>
        <w:pStyle w:val="Voetnoottekst"/>
        <w:jc w:val="both"/>
        <w:rPr>
          <w:rFonts w:cs="Times New Roman"/>
          <w:lang w:val="en-US"/>
        </w:rPr>
      </w:pPr>
      <w:r w:rsidRPr="001F0FF2">
        <w:rPr>
          <w:rStyle w:val="Voetnootmarkering"/>
          <w:rFonts w:cs="Times New Roman"/>
        </w:rPr>
        <w:footnoteRef/>
      </w:r>
      <w:r w:rsidR="009A27D7" w:rsidRPr="001F0FF2">
        <w:rPr>
          <w:rFonts w:cs="Times New Roman"/>
        </w:rPr>
        <w:t xml:space="preserve"> </w:t>
      </w:r>
      <w:r w:rsidR="009A27D7" w:rsidRPr="001F0FF2">
        <w:rPr>
          <w:rFonts w:cs="Times New Roman"/>
        </w:rPr>
        <w:t xml:space="preserve">Vienna Convention on the Law of Treaties (adopted 23 May 1969, entered into force 27 January 1980) 1155 UNTS 331 art 31(1); </w:t>
      </w:r>
      <w:r w:rsidR="009A27D7" w:rsidRPr="001F0FF2">
        <w:rPr>
          <w:rStyle w:val="Nadruk"/>
          <w:rFonts w:cs="Times New Roman"/>
        </w:rPr>
        <w:t>Territorial Dispute (Libyan Arab Jamahiriya v Chad)</w:t>
      </w:r>
      <w:r w:rsidR="009A27D7" w:rsidRPr="001F0FF2">
        <w:rPr>
          <w:rFonts w:cs="Times New Roman"/>
        </w:rPr>
        <w:t xml:space="preserve"> (Judgment) [1994] ICJ Rep 6, para 41; </w:t>
      </w:r>
      <w:r w:rsidR="009A27D7" w:rsidRPr="001F0FF2">
        <w:rPr>
          <w:rStyle w:val="Nadruk"/>
          <w:rFonts w:cs="Times New Roman"/>
        </w:rPr>
        <w:t>Prosecutor v Sikirica et al</w:t>
      </w:r>
      <w:r w:rsidR="009A27D7" w:rsidRPr="001F0FF2">
        <w:rPr>
          <w:rFonts w:cs="Times New Roman"/>
        </w:rPr>
        <w:t xml:space="preserve"> (Judgment on Defence Motions to Acquit) IT-95-8-T (3 September 2001) paras 59</w:t>
      </w:r>
      <w:r w:rsidR="00731554">
        <w:rPr>
          <w:rFonts w:cs="Times New Roman"/>
        </w:rPr>
        <w:t>-</w:t>
      </w:r>
      <w:r w:rsidR="009A27D7" w:rsidRPr="001F0FF2">
        <w:rPr>
          <w:rFonts w:cs="Times New Roman"/>
        </w:rPr>
        <w:t xml:space="preserve">60; Antonio Cassese, </w:t>
      </w:r>
      <w:r w:rsidR="009A27D7" w:rsidRPr="001F0FF2">
        <w:rPr>
          <w:rStyle w:val="Nadruk"/>
          <w:rFonts w:cs="Times New Roman"/>
        </w:rPr>
        <w:t>International Law</w:t>
      </w:r>
      <w:r w:rsidR="009A27D7" w:rsidRPr="001F0FF2">
        <w:rPr>
          <w:rFonts w:cs="Times New Roman"/>
        </w:rPr>
        <w:t xml:space="preserve"> (2nd edn, Oxford University Press 2005) 179; Gleider Hernandez, </w:t>
      </w:r>
      <w:r w:rsidR="009A27D7" w:rsidRPr="001F0FF2">
        <w:rPr>
          <w:rStyle w:val="Nadruk"/>
          <w:rFonts w:cs="Times New Roman"/>
        </w:rPr>
        <w:t>International Law</w:t>
      </w:r>
      <w:r w:rsidR="009A27D7" w:rsidRPr="001F0FF2">
        <w:rPr>
          <w:rFonts w:cs="Times New Roman"/>
        </w:rPr>
        <w:t xml:space="preserve"> (Oxford University Press 2025) 198; André Nollkaemper, </w:t>
      </w:r>
      <w:r w:rsidR="009A27D7" w:rsidRPr="001F0FF2">
        <w:rPr>
          <w:rStyle w:val="Nadruk"/>
          <w:rFonts w:cs="Times New Roman"/>
        </w:rPr>
        <w:t>Kern van het internationaal publiekrecht</w:t>
      </w:r>
      <w:r w:rsidR="009A27D7" w:rsidRPr="001F0FF2">
        <w:rPr>
          <w:rFonts w:cs="Times New Roman"/>
        </w:rPr>
        <w:t xml:space="preserve"> (Boom Juridisch 2019) 187; William A Schabas, </w:t>
      </w:r>
      <w:r w:rsidR="009A27D7" w:rsidRPr="001F0FF2">
        <w:rPr>
          <w:rStyle w:val="Nadruk"/>
          <w:rFonts w:cs="Times New Roman"/>
        </w:rPr>
        <w:t>Genocide in International Law</w:t>
      </w:r>
      <w:r w:rsidR="009A27D7" w:rsidRPr="001F0FF2">
        <w:rPr>
          <w:rFonts w:cs="Times New Roman"/>
        </w:rPr>
        <w:t xml:space="preserve"> (3rd edn, Cambridge University Press 2025) 635; Ahmad Al-Zubi, ‘The Extent of Adopting a Hierarchical Interpretive Structure by the ILC in Arts 31-2 of the VCLT to Remove the Legal Uncertainty from Treaty Interpretation’ (2017) 59 </w:t>
      </w:r>
      <w:r w:rsidR="009A27D7" w:rsidRPr="001F0FF2">
        <w:rPr>
          <w:rStyle w:val="Nadruk"/>
          <w:rFonts w:cs="Times New Roman"/>
        </w:rPr>
        <w:t>Journal of Law, Policy and Globalization</w:t>
      </w:r>
      <w:r w:rsidR="009A27D7" w:rsidRPr="001F0FF2">
        <w:rPr>
          <w:rFonts w:cs="Times New Roman"/>
        </w:rPr>
        <w:t xml:space="preserve"> 191, 193; Francis G Jacobs, ‘Varieties of Approach to Treaty Interpretation: With Special Reference to the Draft Convention on the Law of Treaties before the Vienna Diplomatic Conference’ (1969) 18 </w:t>
      </w:r>
      <w:r w:rsidR="009A27D7" w:rsidRPr="001F0FF2">
        <w:rPr>
          <w:rStyle w:val="Nadruk"/>
          <w:rFonts w:cs="Times New Roman"/>
        </w:rPr>
        <w:t>International and Comparative Law Quarterly</w:t>
      </w:r>
      <w:r w:rsidR="009A27D7" w:rsidRPr="001F0FF2">
        <w:rPr>
          <w:rFonts w:cs="Times New Roman"/>
        </w:rPr>
        <w:t xml:space="preserve"> 318, 338.</w:t>
      </w:r>
    </w:p>
  </w:footnote>
  <w:footnote w:id="100">
    <w:p w14:paraId="112E54BE" w14:textId="5198D1FF" w:rsidR="00DE3927" w:rsidRPr="001F0FF2" w:rsidRDefault="00DE392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Territorial Dispute</w:t>
      </w:r>
      <w:r w:rsidRPr="001F0FF2">
        <w:rPr>
          <w:rFonts w:cs="Times New Roman"/>
        </w:rPr>
        <w:t xml:space="preserve"> (</w:t>
      </w:r>
      <w:r w:rsidRPr="001F0FF2">
        <w:rPr>
          <w:rFonts w:cs="Times New Roman"/>
          <w:i/>
          <w:iCs/>
        </w:rPr>
        <w:t>Libyan Arab Jamahiriya/Chad</w:t>
      </w:r>
      <w:r w:rsidRPr="001F0FF2">
        <w:rPr>
          <w:rFonts w:cs="Times New Roman"/>
        </w:rPr>
        <w:t xml:space="preserve">), Judgment, [1994] ICJ Rep 6, para 41; </w:t>
      </w:r>
      <w:r w:rsidRPr="001F0FF2">
        <w:rPr>
          <w:rFonts w:cs="Times New Roman"/>
          <w:i/>
          <w:iCs/>
        </w:rPr>
        <w:t>Oil Platforms</w:t>
      </w:r>
      <w:r w:rsidRPr="001F0FF2">
        <w:rPr>
          <w:rFonts w:cs="Times New Roman"/>
        </w:rPr>
        <w:t xml:space="preserve"> (</w:t>
      </w:r>
      <w:r w:rsidRPr="001F0FF2">
        <w:rPr>
          <w:rFonts w:cs="Times New Roman"/>
          <w:i/>
          <w:iCs/>
        </w:rPr>
        <w:t>Iran v United States of America</w:t>
      </w:r>
      <w:r w:rsidRPr="001F0FF2">
        <w:rPr>
          <w:rFonts w:cs="Times New Roman"/>
        </w:rPr>
        <w:t xml:space="preserve">), Preliminary Objections, [1996] ICJ Rep 803, para 23; </w:t>
      </w:r>
      <w:r w:rsidRPr="001F0FF2">
        <w:rPr>
          <w:rFonts w:cs="Times New Roman"/>
          <w:i/>
          <w:iCs/>
        </w:rPr>
        <w:t>Kasikili/Sedudu Island</w:t>
      </w:r>
      <w:r w:rsidRPr="001F0FF2">
        <w:rPr>
          <w:rFonts w:cs="Times New Roman"/>
        </w:rPr>
        <w:t xml:space="preserve"> (</w:t>
      </w:r>
      <w:r w:rsidRPr="001F0FF2">
        <w:rPr>
          <w:rFonts w:cs="Times New Roman"/>
          <w:i/>
          <w:iCs/>
        </w:rPr>
        <w:t>Botswana/Namibia</w:t>
      </w:r>
      <w:r w:rsidRPr="001F0FF2">
        <w:rPr>
          <w:rFonts w:cs="Times New Roman"/>
        </w:rPr>
        <w:t>), Judgment, [1999] ICJ Rep 1045, paras 18; Application of the Convention on the Prevention and Punishment of the Crime of Genocide (Bosnia and Herzegovina v Serbia and Montenegro) [2007] ICJ Rep 43, para 109-110</w:t>
      </w:r>
      <w:r w:rsidR="003E2E73" w:rsidRPr="001F0FF2">
        <w:rPr>
          <w:rFonts w:cs="Times New Roman"/>
        </w:rPr>
        <w:t xml:space="preserve"> Malgosia Fitzmaurice, ‘The Practical Working of the Law of Treaties’ in Malcolm D Evans (ed), </w:t>
      </w:r>
      <w:r w:rsidR="003E2E73" w:rsidRPr="001F0FF2">
        <w:rPr>
          <w:rStyle w:val="Nadruk"/>
          <w:rFonts w:cs="Times New Roman"/>
        </w:rPr>
        <w:t>International Law</w:t>
      </w:r>
      <w:r w:rsidR="003E2E73" w:rsidRPr="001F0FF2">
        <w:rPr>
          <w:rFonts w:cs="Times New Roman"/>
        </w:rPr>
        <w:t xml:space="preserve"> (5th edn, Oxford University Press 2018) 157; G</w:t>
      </w:r>
      <w:r w:rsidR="009A27D7" w:rsidRPr="001F0FF2">
        <w:rPr>
          <w:rFonts w:cs="Times New Roman"/>
        </w:rPr>
        <w:t>leider</w:t>
      </w:r>
      <w:r w:rsidR="003E2E73" w:rsidRPr="001F0FF2">
        <w:rPr>
          <w:rFonts w:cs="Times New Roman"/>
        </w:rPr>
        <w:t xml:space="preserve"> HERNANDEZ, </w:t>
      </w:r>
      <w:r w:rsidR="003E2E73" w:rsidRPr="001F0FF2">
        <w:rPr>
          <w:rFonts w:cs="Times New Roman"/>
          <w:i/>
          <w:iCs/>
        </w:rPr>
        <w:t xml:space="preserve">International </w:t>
      </w:r>
      <w:r w:rsidR="003E2E73" w:rsidRPr="001F0FF2">
        <w:rPr>
          <w:rFonts w:cs="Times New Roman"/>
        </w:rPr>
        <w:t>Law, Oxford University Press, 2025, 198.</w:t>
      </w:r>
    </w:p>
  </w:footnote>
  <w:footnote w:id="101">
    <w:p w14:paraId="6DAC2C7C" w14:textId="14498F75" w:rsidR="00F2119E" w:rsidRPr="001F0FF2" w:rsidRDefault="00F2119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Style w:val="Nadruk"/>
          <w:rFonts w:cs="Times New Roman"/>
        </w:rPr>
        <w:t>Kasikili/Sedudu Island (Botswana v Namibia)</w:t>
      </w:r>
      <w:r w:rsidR="00762E9E" w:rsidRPr="001F0FF2">
        <w:rPr>
          <w:rFonts w:cs="Times New Roman"/>
        </w:rPr>
        <w:t xml:space="preserve"> (Judgment) [1999] ICJ Rep 1045, paras 18</w:t>
      </w:r>
      <w:r w:rsidR="00762E9E" w:rsidRPr="001F0FF2">
        <w:rPr>
          <w:rFonts w:cs="Times New Roman"/>
        </w:rPr>
        <w:t>-</w:t>
      </w:r>
      <w:r w:rsidR="00762E9E" w:rsidRPr="001F0FF2">
        <w:rPr>
          <w:rFonts w:cs="Times New Roman"/>
        </w:rPr>
        <w:t>20</w:t>
      </w:r>
      <w:r w:rsidR="00762E9E" w:rsidRPr="001F0FF2">
        <w:rPr>
          <w:rFonts w:cs="Times New Roman"/>
        </w:rPr>
        <w:t>.</w:t>
      </w:r>
    </w:p>
  </w:footnote>
  <w:footnote w:id="102">
    <w:p w14:paraId="24E4752F" w14:textId="75D63A39" w:rsidR="008258A1" w:rsidRPr="001F0FF2" w:rsidRDefault="008258A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Fonts w:cs="Times New Roman"/>
        </w:rPr>
        <w:t xml:space="preserve">Vienna Convention on the Law of Treaties (adopted 23 May 1969, entered into force 27 January 1980) 1155 UNTS 331 art 31(1); </w:t>
      </w:r>
      <w:r w:rsidR="00762E9E" w:rsidRPr="001F0FF2">
        <w:rPr>
          <w:rStyle w:val="Nadruk"/>
          <w:rFonts w:cs="Times New Roman"/>
        </w:rPr>
        <w:t>Dispute regarding Navigational and Related Rights (Costa Rica v Nicaragua)</w:t>
      </w:r>
      <w:r w:rsidR="00762E9E" w:rsidRPr="001F0FF2">
        <w:rPr>
          <w:rFonts w:cs="Times New Roman"/>
        </w:rPr>
        <w:t xml:space="preserve"> (Judgment) [2009] ICJ Rep 213, para 47</w:t>
      </w:r>
      <w:r w:rsidR="00762E9E" w:rsidRPr="001F0FF2">
        <w:rPr>
          <w:rFonts w:cs="Times New Roman"/>
        </w:rPr>
        <w:t>.</w:t>
      </w:r>
    </w:p>
  </w:footnote>
  <w:footnote w:id="103">
    <w:p w14:paraId="7C134C4D" w14:textId="394DDB2C" w:rsidR="0065526E" w:rsidRPr="001F0FF2" w:rsidRDefault="0065526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Style w:val="Nadruk"/>
          <w:rFonts w:cs="Times New Roman"/>
        </w:rPr>
        <w:t>Competence of the General Assembly for the Admission of a State to the United Nations</w:t>
      </w:r>
      <w:r w:rsidR="00762E9E" w:rsidRPr="001F0FF2">
        <w:rPr>
          <w:rFonts w:cs="Times New Roman"/>
        </w:rPr>
        <w:t xml:space="preserve"> (Advisory Opinion) [1950] ICJ Rep 4, 8; Martin Dixon, </w:t>
      </w:r>
      <w:r w:rsidR="00762E9E" w:rsidRPr="001F0FF2">
        <w:rPr>
          <w:rStyle w:val="Nadruk"/>
          <w:rFonts w:cs="Times New Roman"/>
        </w:rPr>
        <w:t>Textbook on International Law</w:t>
      </w:r>
      <w:r w:rsidR="00762E9E" w:rsidRPr="001F0FF2">
        <w:rPr>
          <w:rFonts w:cs="Times New Roman"/>
        </w:rPr>
        <w:t xml:space="preserve"> (Blackstone Press Limited 2000) 63</w:t>
      </w:r>
      <w:r w:rsidR="00762E9E" w:rsidRPr="001F0FF2">
        <w:rPr>
          <w:rFonts w:cs="Times New Roman"/>
        </w:rPr>
        <w:t>.</w:t>
      </w:r>
    </w:p>
  </w:footnote>
  <w:footnote w:id="104">
    <w:p w14:paraId="516EA7A3" w14:textId="643C995B" w:rsidR="001D39F9" w:rsidRPr="001F0FF2" w:rsidRDefault="001D39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United States Nationals in Morocco</w:t>
      </w:r>
      <w:r w:rsidRPr="001F0FF2">
        <w:rPr>
          <w:rFonts w:cs="Times New Roman"/>
        </w:rPr>
        <w:t xml:space="preserve"> (</w:t>
      </w:r>
      <w:r w:rsidRPr="001F0FF2">
        <w:rPr>
          <w:rFonts w:cs="Times New Roman"/>
          <w:i/>
          <w:iCs/>
        </w:rPr>
        <w:t>France v United States of America</w:t>
      </w:r>
      <w:r w:rsidRPr="001F0FF2">
        <w:rPr>
          <w:rFonts w:cs="Times New Roman"/>
        </w:rPr>
        <w:t>), Judgment, [1952] ICJ Rep 176, 196</w:t>
      </w:r>
    </w:p>
  </w:footnote>
  <w:footnote w:id="105">
    <w:p w14:paraId="77D74F55" w14:textId="291300BD" w:rsidR="00191225" w:rsidRPr="001F0FF2" w:rsidRDefault="0019122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Fonts w:cs="Times New Roman"/>
        </w:rPr>
        <w:t xml:space="preserve">Vienna Convention on the Law of Treaties (adopted 23 May 1969, entered into force 27 January 1980) 1155 UNTS 331 art 31(2); Agnieszka Kaczorowska-Ireland, </w:t>
      </w:r>
      <w:r w:rsidR="00762E9E" w:rsidRPr="001F0FF2">
        <w:rPr>
          <w:rStyle w:val="Nadruk"/>
          <w:rFonts w:cs="Times New Roman"/>
        </w:rPr>
        <w:t>Public International Law</w:t>
      </w:r>
      <w:r w:rsidR="00762E9E" w:rsidRPr="001F0FF2">
        <w:rPr>
          <w:rFonts w:cs="Times New Roman"/>
        </w:rPr>
        <w:t xml:space="preserve"> (Routledge 2015) 110</w:t>
      </w:r>
      <w:r w:rsidR="00762E9E" w:rsidRPr="001F0FF2">
        <w:rPr>
          <w:rFonts w:cs="Times New Roman"/>
        </w:rPr>
        <w:t>.</w:t>
      </w:r>
    </w:p>
  </w:footnote>
  <w:footnote w:id="106">
    <w:p w14:paraId="52A74E45" w14:textId="2F68559E" w:rsidR="00191225" w:rsidRPr="001F0FF2" w:rsidRDefault="0019122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Style w:val="Nadruk"/>
          <w:rFonts w:cs="Times New Roman"/>
        </w:rPr>
        <w:t>Ambatielos Case (Greece v United Kingdom)</w:t>
      </w:r>
      <w:r w:rsidR="00762E9E" w:rsidRPr="001F0FF2">
        <w:rPr>
          <w:rFonts w:cs="Times New Roman"/>
        </w:rPr>
        <w:t xml:space="preserve"> (Judgment) [1952] ICJ Rep 28, 44; </w:t>
      </w:r>
      <w:r w:rsidR="00762E9E" w:rsidRPr="001F0FF2">
        <w:rPr>
          <w:rStyle w:val="Nadruk"/>
          <w:rFonts w:cs="Times New Roman"/>
        </w:rPr>
        <w:t>Whaling in the Antarctic (Australia v Japan: New Zealand intervening)</w:t>
      </w:r>
      <w:r w:rsidR="00762E9E" w:rsidRPr="001F0FF2">
        <w:rPr>
          <w:rFonts w:cs="Times New Roman"/>
        </w:rPr>
        <w:t xml:space="preserve"> (Judgment) [2014] ICJ Rep 226, para 83; Malgosia Fitzmaurice, ‘The Practical Working of the Law of Treaties’ in Malcolm D Evans (ed), </w:t>
      </w:r>
      <w:r w:rsidR="00762E9E" w:rsidRPr="001F0FF2">
        <w:rPr>
          <w:rStyle w:val="Nadruk"/>
          <w:rFonts w:cs="Times New Roman"/>
        </w:rPr>
        <w:t>International Law</w:t>
      </w:r>
      <w:r w:rsidR="00762E9E" w:rsidRPr="001F0FF2">
        <w:rPr>
          <w:rFonts w:cs="Times New Roman"/>
        </w:rPr>
        <w:t xml:space="preserve"> (5th edn, Oxford University Press 2018) 157</w:t>
      </w:r>
      <w:r w:rsidR="00762E9E" w:rsidRPr="001F0FF2">
        <w:rPr>
          <w:rFonts w:cs="Times New Roman"/>
        </w:rPr>
        <w:t>.</w:t>
      </w:r>
    </w:p>
  </w:footnote>
  <w:footnote w:id="107">
    <w:p w14:paraId="7F8A432A" w14:textId="3C471428" w:rsidR="005941AD" w:rsidRPr="001F0FF2" w:rsidRDefault="005941A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Fonts w:cs="Times New Roman"/>
        </w:rPr>
        <w:t xml:space="preserve">Vienna Convention on the Law of Treaties (adopted 23 May 1969, entered into force 27 January 1980) 1155 UNTS 331 art 32; </w:t>
      </w:r>
      <w:r w:rsidR="00762E9E" w:rsidRPr="001F0FF2">
        <w:rPr>
          <w:rStyle w:val="Nadruk"/>
          <w:rFonts w:cs="Times New Roman"/>
        </w:rPr>
        <w:t>Kasikili/Sedudu Island (Botswana v Namibia)</w:t>
      </w:r>
      <w:r w:rsidR="00762E9E" w:rsidRPr="001F0FF2">
        <w:rPr>
          <w:rFonts w:cs="Times New Roman"/>
        </w:rPr>
        <w:t xml:space="preserve"> (Judgment) [1999] ICJ Rep 1045, para 55; Agnieszka Kaczorowska-Ireland, </w:t>
      </w:r>
      <w:r w:rsidR="00762E9E" w:rsidRPr="001F0FF2">
        <w:rPr>
          <w:rStyle w:val="Nadruk"/>
          <w:rFonts w:cs="Times New Roman"/>
        </w:rPr>
        <w:t>Public International Law</w:t>
      </w:r>
      <w:r w:rsidR="00762E9E" w:rsidRPr="001F0FF2">
        <w:rPr>
          <w:rFonts w:cs="Times New Roman"/>
        </w:rPr>
        <w:t xml:space="preserve"> (Routledge 2015) 110</w:t>
      </w:r>
      <w:r w:rsidR="00762E9E" w:rsidRPr="001F0FF2">
        <w:rPr>
          <w:rFonts w:cs="Times New Roman"/>
        </w:rPr>
        <w:t>.</w:t>
      </w:r>
    </w:p>
  </w:footnote>
  <w:footnote w:id="108">
    <w:p w14:paraId="73A7CAED" w14:textId="4F9F4243" w:rsidR="00FF6E37" w:rsidRPr="001F0FF2" w:rsidRDefault="00FF6E3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Fonts w:cs="Times New Roman"/>
        </w:rPr>
        <w:t xml:space="preserve">Vienna Convention on the Law of Treaties (adopted 23 May 1969, entered into force 27 January 1980) 1155 UNTS 331 art 32; </w:t>
      </w:r>
      <w:r w:rsidR="00762E9E" w:rsidRPr="001F0FF2">
        <w:rPr>
          <w:rStyle w:val="Nadruk"/>
          <w:rFonts w:cs="Times New Roman"/>
        </w:rPr>
        <w:t>Kasikili/Sedudu Island (Botswana v Namibia)</w:t>
      </w:r>
      <w:r w:rsidR="00762E9E" w:rsidRPr="001F0FF2">
        <w:rPr>
          <w:rFonts w:cs="Times New Roman"/>
        </w:rPr>
        <w:t xml:space="preserve"> (Judgment) [1999] ICJ Rep 1045, para 55; </w:t>
      </w:r>
      <w:r w:rsidR="00762E9E" w:rsidRPr="001F0FF2">
        <w:rPr>
          <w:rStyle w:val="Nadruk"/>
          <w:rFonts w:cs="Times New Roman"/>
        </w:rPr>
        <w:t>Maritime Delimitation and Territorial Questions between Qatar and Bahrain (Qatar v Bahrain)</w:t>
      </w:r>
      <w:r w:rsidR="00762E9E" w:rsidRPr="001F0FF2">
        <w:rPr>
          <w:rFonts w:cs="Times New Roman"/>
        </w:rPr>
        <w:t xml:space="preserve"> (Jurisdiction and Admissibility) [1995] ICJ Rep 6, paras 33</w:t>
      </w:r>
      <w:r w:rsidR="00762E9E" w:rsidRPr="001F0FF2">
        <w:rPr>
          <w:rFonts w:cs="Times New Roman"/>
        </w:rPr>
        <w:t>-</w:t>
      </w:r>
      <w:r w:rsidR="00762E9E" w:rsidRPr="001F0FF2">
        <w:rPr>
          <w:rFonts w:cs="Times New Roman"/>
        </w:rPr>
        <w:t xml:space="preserve">35; </w:t>
      </w:r>
      <w:r w:rsidR="00762E9E" w:rsidRPr="001F0FF2">
        <w:rPr>
          <w:rStyle w:val="Nadruk"/>
          <w:rFonts w:cs="Times New Roman"/>
        </w:rPr>
        <w:t>Sovereignty over Pulau Ligitan and Pulau Sipadan (Indonesia v Malaysia)</w:t>
      </w:r>
      <w:r w:rsidR="00762E9E" w:rsidRPr="001F0FF2">
        <w:rPr>
          <w:rFonts w:cs="Times New Roman"/>
        </w:rPr>
        <w:t xml:space="preserve"> (Judgment) [2002] ICJ Rep 625, paras 37</w:t>
      </w:r>
      <w:r w:rsidR="00762E9E" w:rsidRPr="001F0FF2">
        <w:rPr>
          <w:rFonts w:cs="Times New Roman"/>
        </w:rPr>
        <w:t>-</w:t>
      </w:r>
      <w:r w:rsidR="00762E9E" w:rsidRPr="001F0FF2">
        <w:rPr>
          <w:rFonts w:cs="Times New Roman"/>
        </w:rPr>
        <w:t xml:space="preserve">38; Antonio Cassese, </w:t>
      </w:r>
      <w:r w:rsidR="00762E9E" w:rsidRPr="001F0FF2">
        <w:rPr>
          <w:rStyle w:val="Nadruk"/>
          <w:rFonts w:cs="Times New Roman"/>
        </w:rPr>
        <w:t>International Law</w:t>
      </w:r>
      <w:r w:rsidR="00762E9E" w:rsidRPr="001F0FF2">
        <w:rPr>
          <w:rFonts w:cs="Times New Roman"/>
        </w:rPr>
        <w:t xml:space="preserve"> (2nd edn, Oxford University Press 2005) 179; Martin Dixon, Robert McCorquodale and Sarah Williams, </w:t>
      </w:r>
      <w:r w:rsidR="00762E9E" w:rsidRPr="001F0FF2">
        <w:rPr>
          <w:rStyle w:val="Nadruk"/>
          <w:rFonts w:cs="Times New Roman"/>
        </w:rPr>
        <w:t>Cases and Materials on International Law</w:t>
      </w:r>
      <w:r w:rsidR="00762E9E" w:rsidRPr="001F0FF2">
        <w:rPr>
          <w:rFonts w:cs="Times New Roman"/>
        </w:rPr>
        <w:t xml:space="preserve"> (Oxford University Press 2011) 82</w:t>
      </w:r>
      <w:r w:rsidR="00762E9E" w:rsidRPr="001F0FF2">
        <w:rPr>
          <w:rFonts w:cs="Times New Roman"/>
        </w:rPr>
        <w:t>-</w:t>
      </w:r>
      <w:r w:rsidR="00762E9E" w:rsidRPr="001F0FF2">
        <w:rPr>
          <w:rFonts w:cs="Times New Roman"/>
        </w:rPr>
        <w:t xml:space="preserve">87; Malgosia Fitzmaurice, ‘The Practical Working of the Law of Treaties’ in Malcolm D Evans (ed), </w:t>
      </w:r>
      <w:r w:rsidR="00762E9E" w:rsidRPr="001F0FF2">
        <w:rPr>
          <w:rStyle w:val="Nadruk"/>
          <w:rFonts w:cs="Times New Roman"/>
        </w:rPr>
        <w:t>International Law</w:t>
      </w:r>
      <w:r w:rsidR="00762E9E" w:rsidRPr="001F0FF2">
        <w:rPr>
          <w:rFonts w:cs="Times New Roman"/>
        </w:rPr>
        <w:t xml:space="preserve"> (Oxford University Press 2018) 153; Agnieszka Kaczorowska-Ireland, </w:t>
      </w:r>
      <w:r w:rsidR="00762E9E" w:rsidRPr="001F0FF2">
        <w:rPr>
          <w:rStyle w:val="Nadruk"/>
          <w:rFonts w:cs="Times New Roman"/>
        </w:rPr>
        <w:t>Public International Law</w:t>
      </w:r>
      <w:r w:rsidR="00762E9E" w:rsidRPr="001F0FF2">
        <w:rPr>
          <w:rFonts w:cs="Times New Roman"/>
        </w:rPr>
        <w:t xml:space="preserve"> (Routledge 2015) 110; André Nollkaemper, </w:t>
      </w:r>
      <w:r w:rsidR="00762E9E" w:rsidRPr="001F0FF2">
        <w:rPr>
          <w:rStyle w:val="Nadruk"/>
          <w:rFonts w:cs="Times New Roman"/>
        </w:rPr>
        <w:t>Kern van het internationaal publiekrecht</w:t>
      </w:r>
      <w:r w:rsidR="00762E9E" w:rsidRPr="001F0FF2">
        <w:rPr>
          <w:rFonts w:cs="Times New Roman"/>
        </w:rPr>
        <w:t xml:space="preserve"> (Boom Juridisch 2019) 188</w:t>
      </w:r>
      <w:r w:rsidR="00762E9E" w:rsidRPr="001F0FF2">
        <w:rPr>
          <w:rFonts w:cs="Times New Roman"/>
        </w:rPr>
        <w:t>.</w:t>
      </w:r>
    </w:p>
  </w:footnote>
  <w:footnote w:id="109">
    <w:p w14:paraId="5F05FD1E" w14:textId="1A0B9CDC" w:rsidR="0046409B" w:rsidRPr="001F0FF2" w:rsidRDefault="0046409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762E9E" w:rsidRPr="001F0FF2">
        <w:rPr>
          <w:rFonts w:cs="Times New Roman"/>
        </w:rPr>
        <w:t xml:space="preserve">Gleider Hernandez, </w:t>
      </w:r>
      <w:r w:rsidR="00762E9E" w:rsidRPr="001F0FF2">
        <w:rPr>
          <w:rStyle w:val="Nadruk"/>
          <w:rFonts w:cs="Times New Roman"/>
        </w:rPr>
        <w:t>International Law</w:t>
      </w:r>
      <w:r w:rsidR="00762E9E" w:rsidRPr="001F0FF2">
        <w:rPr>
          <w:rFonts w:cs="Times New Roman"/>
        </w:rPr>
        <w:t xml:space="preserve"> (Oxford University Press 2025) 199</w:t>
      </w:r>
      <w:r w:rsidR="00762E9E" w:rsidRPr="001F0FF2">
        <w:rPr>
          <w:rFonts w:cs="Times New Roman"/>
        </w:rPr>
        <w:t>.</w:t>
      </w:r>
    </w:p>
  </w:footnote>
  <w:footnote w:id="110">
    <w:p w14:paraId="000472FA" w14:textId="1B37AE09" w:rsidR="0046409B" w:rsidRPr="001F0FF2" w:rsidRDefault="0046409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Territorial Dispute</w:t>
      </w:r>
      <w:r w:rsidRPr="001F0FF2">
        <w:rPr>
          <w:rFonts w:cs="Times New Roman"/>
        </w:rPr>
        <w:t xml:space="preserve"> (</w:t>
      </w:r>
      <w:r w:rsidRPr="001F0FF2">
        <w:rPr>
          <w:rFonts w:cs="Times New Roman"/>
          <w:i/>
          <w:iCs/>
        </w:rPr>
        <w:t>Libyan Arab Jamahiriya/Chad</w:t>
      </w:r>
      <w:r w:rsidRPr="001F0FF2">
        <w:rPr>
          <w:rFonts w:cs="Times New Roman"/>
        </w:rPr>
        <w:t>)</w:t>
      </w:r>
      <w:r w:rsidR="00621E08" w:rsidRPr="001F0FF2">
        <w:rPr>
          <w:rFonts w:cs="Times New Roman"/>
        </w:rPr>
        <w:t xml:space="preserve">, Judgment, </w:t>
      </w:r>
      <w:r w:rsidRPr="001F0FF2">
        <w:rPr>
          <w:rFonts w:cs="Times New Roman"/>
        </w:rPr>
        <w:t xml:space="preserve">[1994] ICJ Rep 6, para 41; </w:t>
      </w:r>
      <w:r w:rsidRPr="001F0FF2">
        <w:rPr>
          <w:rFonts w:cs="Times New Roman"/>
          <w:i/>
          <w:iCs/>
        </w:rPr>
        <w:t>Oil Platforms</w:t>
      </w:r>
      <w:r w:rsidRPr="001F0FF2">
        <w:rPr>
          <w:rFonts w:cs="Times New Roman"/>
        </w:rPr>
        <w:t xml:space="preserve"> (</w:t>
      </w:r>
      <w:r w:rsidRPr="001F0FF2">
        <w:rPr>
          <w:rFonts w:cs="Times New Roman"/>
          <w:i/>
          <w:iCs/>
        </w:rPr>
        <w:t>Iran v United States of America</w:t>
      </w:r>
      <w:r w:rsidRPr="001F0FF2">
        <w:rPr>
          <w:rFonts w:cs="Times New Roman"/>
        </w:rPr>
        <w:t>)</w:t>
      </w:r>
      <w:r w:rsidR="00621E08" w:rsidRPr="001F0FF2">
        <w:rPr>
          <w:rFonts w:cs="Times New Roman"/>
        </w:rPr>
        <w:t xml:space="preserve">, </w:t>
      </w:r>
      <w:r w:rsidRPr="001F0FF2">
        <w:rPr>
          <w:rFonts w:cs="Times New Roman"/>
        </w:rPr>
        <w:t>Preliminary Objections</w:t>
      </w:r>
      <w:r w:rsidR="00621E08" w:rsidRPr="001F0FF2">
        <w:rPr>
          <w:rFonts w:cs="Times New Roman"/>
        </w:rPr>
        <w:t>,</w:t>
      </w:r>
      <w:r w:rsidRPr="001F0FF2">
        <w:rPr>
          <w:rFonts w:cs="Times New Roman"/>
        </w:rPr>
        <w:t xml:space="preserve"> [1996] ICJ Rep 803, para 23; Richard Gardiner, </w:t>
      </w:r>
      <w:r w:rsidRPr="001F0FF2">
        <w:rPr>
          <w:rStyle w:val="Nadruk"/>
          <w:rFonts w:cs="Times New Roman"/>
        </w:rPr>
        <w:t>Treaty Interpretation</w:t>
      </w:r>
      <w:r w:rsidRPr="001F0FF2">
        <w:rPr>
          <w:rFonts w:cs="Times New Roman"/>
        </w:rPr>
        <w:t xml:space="preserve"> (2nd edn, OUP 2015) 161</w:t>
      </w:r>
      <w:r w:rsidR="00621E08" w:rsidRPr="001F0FF2">
        <w:rPr>
          <w:rFonts w:cs="Times New Roman"/>
        </w:rPr>
        <w:t>-</w:t>
      </w:r>
      <w:r w:rsidRPr="001F0FF2">
        <w:rPr>
          <w:rFonts w:cs="Times New Roman"/>
        </w:rPr>
        <w:t>169; G Fitzmaurice, ‘The Law and Procedure of the International Court of Justice, 1951</w:t>
      </w:r>
      <w:r w:rsidR="001F0FF2" w:rsidRPr="001F0FF2">
        <w:rPr>
          <w:rFonts w:cs="Times New Roman"/>
        </w:rPr>
        <w:t>-</w:t>
      </w:r>
      <w:r w:rsidRPr="001F0FF2">
        <w:rPr>
          <w:rFonts w:cs="Times New Roman"/>
        </w:rPr>
        <w:t>54: General Principles and Sources of Law’ (1953) 30 BYBIL 1, 204</w:t>
      </w:r>
      <w:r w:rsidR="009855EC">
        <w:rPr>
          <w:rFonts w:cs="Times New Roman"/>
        </w:rPr>
        <w:t>-</w:t>
      </w:r>
      <w:r w:rsidRPr="001F0FF2">
        <w:rPr>
          <w:rFonts w:cs="Times New Roman"/>
        </w:rPr>
        <w:t>207.</w:t>
      </w:r>
    </w:p>
  </w:footnote>
  <w:footnote w:id="111">
    <w:p w14:paraId="32AD63E9" w14:textId="3608860F" w:rsidR="00DE3CB2" w:rsidRPr="001F0FF2" w:rsidRDefault="00DE3CB2" w:rsidP="00C06674">
      <w:pPr>
        <w:pStyle w:val="Voetnoottekst"/>
        <w:jc w:val="both"/>
        <w:rPr>
          <w:rFonts w:cs="Times New Roman"/>
          <w:lang w:val="nl-NL"/>
        </w:rPr>
      </w:pPr>
      <w:r w:rsidRPr="001F0FF2">
        <w:rPr>
          <w:rStyle w:val="Voetnootmarkering"/>
          <w:rFonts w:cs="Times New Roman"/>
        </w:rPr>
        <w:footnoteRef/>
      </w:r>
      <w:r w:rsidR="001F0FF2" w:rsidRPr="001F0FF2">
        <w:rPr>
          <w:rStyle w:val="Nadruk"/>
          <w:rFonts w:cs="Times New Roman"/>
        </w:rPr>
        <w:t>Territorial Dispute (Libyan Arab Jamahiriya v Chad)</w:t>
      </w:r>
      <w:r w:rsidR="001F0FF2" w:rsidRPr="001F0FF2">
        <w:rPr>
          <w:rFonts w:cs="Times New Roman"/>
        </w:rPr>
        <w:t xml:space="preserve"> (Judgment) [1994] ICJ Rep 6, para 41; </w:t>
      </w:r>
      <w:r w:rsidR="001F0FF2" w:rsidRPr="001F0FF2">
        <w:rPr>
          <w:rStyle w:val="Nadruk"/>
          <w:rFonts w:cs="Times New Roman"/>
        </w:rPr>
        <w:t>Oil Platforms (Islamic Republic of Iran v United States of America)</w:t>
      </w:r>
      <w:r w:rsidR="001F0FF2" w:rsidRPr="001F0FF2">
        <w:rPr>
          <w:rFonts w:cs="Times New Roman"/>
        </w:rPr>
        <w:t xml:space="preserve"> (Preliminary Objections) [1996] ICJ Rep 803, para 23; </w:t>
      </w:r>
      <w:r w:rsidR="001F0FF2" w:rsidRPr="001F0FF2">
        <w:rPr>
          <w:rStyle w:val="Nadruk"/>
          <w:rFonts w:cs="Times New Roman"/>
        </w:rPr>
        <w:t>Kasikili/Sedudu Island (Botswana v Namibia)</w:t>
      </w:r>
      <w:r w:rsidR="001F0FF2" w:rsidRPr="001F0FF2">
        <w:rPr>
          <w:rFonts w:cs="Times New Roman"/>
        </w:rPr>
        <w:t xml:space="preserve"> (Judgment) [1999] ICJ Rep 1045, para 55; </w:t>
      </w:r>
      <w:r w:rsidR="001F0FF2" w:rsidRPr="001F0FF2">
        <w:rPr>
          <w:rStyle w:val="Nadruk"/>
          <w:rFonts w:cs="Times New Roman"/>
        </w:rPr>
        <w:t>Maritime Delimitation and Territorial Questions between Qatar and Bahrain (Qatar v Bahrain)</w:t>
      </w:r>
      <w:r w:rsidR="001F0FF2" w:rsidRPr="001F0FF2">
        <w:rPr>
          <w:rFonts w:cs="Times New Roman"/>
        </w:rPr>
        <w:t xml:space="preserve"> (Jurisdiction and Admissibility) [1995] ICJ Rep 6, paras 33–35; </w:t>
      </w:r>
      <w:r w:rsidR="001F0FF2" w:rsidRPr="001F0FF2">
        <w:rPr>
          <w:rStyle w:val="Nadruk"/>
          <w:rFonts w:cs="Times New Roman"/>
        </w:rPr>
        <w:t>Sovereignty over Pulau Ligitan and Pulau Sipadan (Indonesia v Malaysia)</w:t>
      </w:r>
      <w:r w:rsidR="001F0FF2" w:rsidRPr="001F0FF2">
        <w:rPr>
          <w:rFonts w:cs="Times New Roman"/>
        </w:rPr>
        <w:t xml:space="preserve"> (Judgment) [2002] ICJ Rep 625, paras 37</w:t>
      </w:r>
      <w:r w:rsidR="00754489">
        <w:rPr>
          <w:rFonts w:cs="Times New Roman"/>
        </w:rPr>
        <w:t>-</w:t>
      </w:r>
      <w:r w:rsidR="001F0FF2" w:rsidRPr="001F0FF2">
        <w:rPr>
          <w:rFonts w:cs="Times New Roman"/>
        </w:rPr>
        <w:t xml:space="preserve">38; Antonio Cassese, </w:t>
      </w:r>
      <w:r w:rsidR="001F0FF2" w:rsidRPr="001F0FF2">
        <w:rPr>
          <w:rStyle w:val="Nadruk"/>
          <w:rFonts w:cs="Times New Roman"/>
        </w:rPr>
        <w:t>International Law</w:t>
      </w:r>
      <w:r w:rsidR="001F0FF2" w:rsidRPr="001F0FF2">
        <w:rPr>
          <w:rFonts w:cs="Times New Roman"/>
        </w:rPr>
        <w:t xml:space="preserve"> (2nd edn, Oxford University Press 2005) 179; Martin Dixon, Robert McCorquodale and Sarah Williams, </w:t>
      </w:r>
      <w:r w:rsidR="001F0FF2" w:rsidRPr="001F0FF2">
        <w:rPr>
          <w:rStyle w:val="Nadruk"/>
          <w:rFonts w:cs="Times New Roman"/>
        </w:rPr>
        <w:t>Cases and Materials on International Law</w:t>
      </w:r>
      <w:r w:rsidR="001F0FF2" w:rsidRPr="001F0FF2">
        <w:rPr>
          <w:rFonts w:cs="Times New Roman"/>
        </w:rPr>
        <w:t xml:space="preserve"> (Oxford University Press 2011) 82–87; Malgosia Fitzmaurice, ‘The Practical Working of the Law of Treaties’ in Malcolm D Evans (ed), </w:t>
      </w:r>
      <w:r w:rsidR="001F0FF2" w:rsidRPr="001F0FF2">
        <w:rPr>
          <w:rStyle w:val="Nadruk"/>
          <w:rFonts w:cs="Times New Roman"/>
        </w:rPr>
        <w:t>International Law</w:t>
      </w:r>
      <w:r w:rsidR="001F0FF2" w:rsidRPr="001F0FF2">
        <w:rPr>
          <w:rFonts w:cs="Times New Roman"/>
        </w:rPr>
        <w:t xml:space="preserve"> (Oxford University Press 2018) 153</w:t>
      </w:r>
      <w:r w:rsidR="001F0FF2" w:rsidRPr="001F0FF2">
        <w:rPr>
          <w:rFonts w:cs="Times New Roman"/>
        </w:rPr>
        <w:t>.</w:t>
      </w:r>
    </w:p>
  </w:footnote>
  <w:footnote w:id="112">
    <w:p w14:paraId="2AB8DD48" w14:textId="6CE50D94" w:rsidR="00631561" w:rsidRPr="001F0FF2" w:rsidRDefault="0063156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F0FF2" w:rsidRPr="001F0FF2">
        <w:rPr>
          <w:rFonts w:cs="Times New Roman"/>
        </w:rPr>
        <w:t>Convention on the Prevention and Punishment of the Crime of Genocide (adopted 9 December 1948, entered into force 12 January 1951) 78 UNTS 277</w:t>
      </w:r>
      <w:r w:rsidR="001F0FF2" w:rsidRPr="001F0FF2">
        <w:rPr>
          <w:rFonts w:cs="Times New Roman"/>
        </w:rPr>
        <w:t>,</w:t>
      </w:r>
      <w:r w:rsidR="001F0FF2" w:rsidRPr="001F0FF2">
        <w:rPr>
          <w:rFonts w:cs="Times New Roman"/>
        </w:rPr>
        <w:t xml:space="preserve"> art II(c).</w:t>
      </w:r>
    </w:p>
  </w:footnote>
  <w:footnote w:id="113">
    <w:p w14:paraId="13B109C8" w14:textId="5B8234DD" w:rsidR="004754D2" w:rsidRPr="001F0FF2" w:rsidRDefault="004754D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F0FF2" w:rsidRPr="001F0FF2">
        <w:rPr>
          <w:rStyle w:val="Nadruk"/>
          <w:rFonts w:cs="Times New Roman"/>
        </w:rPr>
        <w:t>Prosecutor v Stakić</w:t>
      </w:r>
      <w:r w:rsidR="001F0FF2" w:rsidRPr="001F0FF2">
        <w:rPr>
          <w:rFonts w:cs="Times New Roman"/>
        </w:rPr>
        <w:t xml:space="preserve"> (Judgment) IT-97-24-T (31 July 2003) paras 517–518; </w:t>
      </w:r>
      <w:r w:rsidR="001F0FF2" w:rsidRPr="001F0FF2">
        <w:rPr>
          <w:rStyle w:val="Nadruk"/>
          <w:rFonts w:cs="Times New Roman"/>
        </w:rPr>
        <w:t>Application of the Convention on the Prevention and Punishment of the Crime of Genocide (Croatia v Serbia)</w:t>
      </w:r>
      <w:r w:rsidR="001F0FF2" w:rsidRPr="001F0FF2">
        <w:rPr>
          <w:rFonts w:cs="Times New Roman"/>
        </w:rPr>
        <w:t xml:space="preserve"> (Judgment) [2015] ICJ Rep 3, para 161.</w:t>
      </w:r>
    </w:p>
  </w:footnote>
  <w:footnote w:id="114">
    <w:p w14:paraId="28BDB6C3" w14:textId="0249C7B1" w:rsidR="00610D3E" w:rsidRPr="001F0FF2" w:rsidRDefault="00610D3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F0FF2" w:rsidRPr="001F0FF2">
        <w:rPr>
          <w:rFonts w:cs="Times New Roman"/>
        </w:rPr>
        <w:t>Vienna Convention on the Law of Treaties (adopted 23 May 1969, entered into force 27 January 1980) 1155 UNTS 331</w:t>
      </w:r>
      <w:r w:rsidR="001F0FF2" w:rsidRPr="001F0FF2">
        <w:rPr>
          <w:rFonts w:cs="Times New Roman"/>
        </w:rPr>
        <w:t>,</w:t>
      </w:r>
      <w:r w:rsidR="001F0FF2" w:rsidRPr="001F0FF2">
        <w:rPr>
          <w:rFonts w:cs="Times New Roman"/>
        </w:rPr>
        <w:t xml:space="preserve"> art 3</w:t>
      </w:r>
      <w:r w:rsidR="001F0FF2" w:rsidRPr="001F0FF2">
        <w:rPr>
          <w:rFonts w:cs="Times New Roman"/>
        </w:rPr>
        <w:t>1.</w:t>
      </w:r>
    </w:p>
  </w:footnote>
  <w:footnote w:id="115">
    <w:p w14:paraId="21BE6DEF" w14:textId="230E3E93" w:rsidR="00982BC3" w:rsidRPr="001F0FF2" w:rsidRDefault="00982BC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Stakić</w:t>
      </w:r>
      <w:r w:rsidRPr="001F0FF2">
        <w:rPr>
          <w:rFonts w:cs="Times New Roman"/>
        </w:rPr>
        <w:t xml:space="preserve"> IT-97-24-T (ICTY Trial Chamber, 31 July 2003) paras 517-518; </w:t>
      </w:r>
      <w:r w:rsidRPr="001F0FF2">
        <w:rPr>
          <w:rFonts w:cs="Times New Roman"/>
          <w:i/>
          <w:iCs/>
        </w:rPr>
        <w:t>Application of the Convention on the Prevention and Punishment of the Crime of Genocide</w:t>
      </w:r>
      <w:r w:rsidRPr="001F0FF2">
        <w:rPr>
          <w:rFonts w:cs="Times New Roman"/>
        </w:rPr>
        <w:t xml:space="preserve"> (</w:t>
      </w:r>
      <w:r w:rsidRPr="001F0FF2">
        <w:rPr>
          <w:rFonts w:cs="Times New Roman"/>
          <w:i/>
          <w:iCs/>
        </w:rPr>
        <w:t>Croatia v Serbia</w:t>
      </w:r>
      <w:r w:rsidRPr="001F0FF2">
        <w:rPr>
          <w:rFonts w:cs="Times New Roman"/>
        </w:rPr>
        <w:t>), Judgment, [2015] ICJ Rep 3, para 161.</w:t>
      </w:r>
    </w:p>
  </w:footnote>
  <w:footnote w:id="116">
    <w:p w14:paraId="4050A931" w14:textId="4B09B2DC" w:rsidR="00982BC3" w:rsidRPr="001F0FF2" w:rsidRDefault="00982BC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F0FF2" w:rsidRPr="001F0FF2">
        <w:rPr>
          <w:rStyle w:val="Nadruk"/>
          <w:rFonts w:cs="Times New Roman"/>
        </w:rPr>
        <w:t>Application of the Convention on the Prevention and Punishment of the Crime of Genocide (Bosnia and Herzegovina v Serbia and Montenegro)</w:t>
      </w:r>
      <w:r w:rsidR="001F0FF2" w:rsidRPr="001F0FF2">
        <w:rPr>
          <w:rFonts w:cs="Times New Roman"/>
        </w:rPr>
        <w:t xml:space="preserve"> (Judgment) [2007] ICJ Rep 43, paras 161, 187.</w:t>
      </w:r>
    </w:p>
  </w:footnote>
  <w:footnote w:id="117">
    <w:p w14:paraId="7CA9DC22" w14:textId="1E00EF5F" w:rsidR="00DB3B94" w:rsidRPr="001F0FF2" w:rsidRDefault="00DB3B9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Kayishema and Ruzindana</w:t>
      </w:r>
      <w:r w:rsidRPr="001F0FF2">
        <w:rPr>
          <w:rFonts w:cs="Times New Roman"/>
        </w:rPr>
        <w:t xml:space="preserve"> (Judgment) ICTR-95-1-T (ICTR Trial Chamber, 21 May 1999) paras 115</w:t>
      </w:r>
      <w:r w:rsidR="001F0FF2" w:rsidRPr="001F0FF2">
        <w:rPr>
          <w:rFonts w:cs="Times New Roman"/>
        </w:rPr>
        <w:t>-</w:t>
      </w:r>
      <w:r w:rsidRPr="001F0FF2">
        <w:rPr>
          <w:rFonts w:cs="Times New Roman"/>
        </w:rPr>
        <w:t xml:space="preserve">116; </w:t>
      </w:r>
      <w:r w:rsidRPr="001F0FF2">
        <w:rPr>
          <w:rStyle w:val="Nadruk"/>
          <w:rFonts w:cs="Times New Roman"/>
        </w:rPr>
        <w:t>Prosecutor v Stakić</w:t>
      </w:r>
      <w:r w:rsidRPr="001F0FF2">
        <w:rPr>
          <w:rFonts w:cs="Times New Roman"/>
        </w:rPr>
        <w:t xml:space="preserve"> (Judgment) IT-97-24-T (ICTY Trial Chamber, 31 July 2003) para 517; </w:t>
      </w:r>
      <w:r w:rsidRPr="001F0FF2">
        <w:rPr>
          <w:rStyle w:val="Nadruk"/>
          <w:rFonts w:cs="Times New Roman"/>
        </w:rPr>
        <w:t>Prosecutor v Brđanin</w:t>
      </w:r>
      <w:r w:rsidRPr="001F0FF2">
        <w:rPr>
          <w:rFonts w:cs="Times New Roman"/>
        </w:rPr>
        <w:t xml:space="preserve"> IT-99-36-T (ICTY Trial Chamber, 1 September 2004) para 691.</w:t>
      </w:r>
    </w:p>
  </w:footnote>
  <w:footnote w:id="118">
    <w:p w14:paraId="450E8D24" w14:textId="2B5B41E1" w:rsidR="006F0F76" w:rsidRPr="001F0FF2" w:rsidRDefault="006F0F7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Application of the Convention on the Prevention and Punishment of the Crime of Genocide</w:t>
      </w:r>
      <w:r w:rsidRPr="001F0FF2">
        <w:rPr>
          <w:rFonts w:cs="Times New Roman"/>
        </w:rPr>
        <w:t xml:space="preserve"> (</w:t>
      </w:r>
      <w:r w:rsidRPr="001F0FF2">
        <w:rPr>
          <w:rFonts w:cs="Times New Roman"/>
          <w:i/>
          <w:iCs/>
        </w:rPr>
        <w:t>Croatia v Serbia</w:t>
      </w:r>
      <w:r w:rsidRPr="001F0FF2">
        <w:rPr>
          <w:rFonts w:cs="Times New Roman"/>
        </w:rPr>
        <w:t>), Judgment, [2015] ICJ Rep 3, para 161.</w:t>
      </w:r>
    </w:p>
  </w:footnote>
  <w:footnote w:id="119">
    <w:p w14:paraId="648DE810" w14:textId="035B784D" w:rsidR="00134FD0" w:rsidRPr="001F0FF2" w:rsidRDefault="00134FD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r w:rsidRPr="001F0FF2">
        <w:rPr>
          <w:rFonts w:cs="Times New Roman"/>
          <w:lang w:val="nl-NL"/>
        </w:rPr>
        <w:t>.</w:t>
      </w:r>
    </w:p>
  </w:footnote>
  <w:footnote w:id="120">
    <w:p w14:paraId="1DBEC592" w14:textId="1DB27143" w:rsidR="00F62284" w:rsidRPr="001F0FF2" w:rsidRDefault="00F6228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1F0FF2" w:rsidRPr="001F0FF2">
        <w:rPr>
          <w:rFonts w:cs="Times New Roman"/>
        </w:rPr>
        <w:t xml:space="preserve">Office of the Prosecutor, </w:t>
      </w:r>
      <w:r w:rsidR="001F0FF2" w:rsidRPr="001F0FF2">
        <w:rPr>
          <w:rStyle w:val="Nadruk"/>
          <w:rFonts w:cs="Times New Roman"/>
        </w:rPr>
        <w:t>Policy on Addressing Environmental Crimes under the Rome Statute</w:t>
      </w:r>
      <w:r w:rsidR="001F0FF2" w:rsidRPr="001F0FF2">
        <w:rPr>
          <w:rFonts w:cs="Times New Roman"/>
        </w:rPr>
        <w:t xml:space="preserve"> (International Criminal Court 2023)</w:t>
      </w:r>
      <w:r w:rsidR="001F0FF2" w:rsidRPr="001F0FF2">
        <w:rPr>
          <w:rFonts w:cs="Times New Roman"/>
        </w:rPr>
        <w:t>.</w:t>
      </w:r>
    </w:p>
  </w:footnote>
  <w:footnote w:id="121">
    <w:p w14:paraId="76F6FA69" w14:textId="4E6EED79" w:rsidR="00AB5357" w:rsidRPr="001F0FF2" w:rsidRDefault="00AB535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fr-BE"/>
        </w:rPr>
        <w:t xml:space="preserve">Adi Radhakrishnan, ‘An </w:t>
      </w:r>
      <w:proofErr w:type="spellStart"/>
      <w:r w:rsidRPr="001F0FF2">
        <w:rPr>
          <w:rFonts w:cs="Times New Roman"/>
          <w:lang w:val="fr-BE"/>
        </w:rPr>
        <w:t>Inherent</w:t>
      </w:r>
      <w:proofErr w:type="spellEnd"/>
      <w:r w:rsidRPr="001F0FF2">
        <w:rPr>
          <w:rFonts w:cs="Times New Roman"/>
          <w:lang w:val="fr-BE"/>
        </w:rPr>
        <w:t xml:space="preserve"> Right to Health: </w:t>
      </w:r>
      <w:proofErr w:type="spellStart"/>
      <w:r w:rsidRPr="001F0FF2">
        <w:rPr>
          <w:rFonts w:cs="Times New Roman"/>
          <w:lang w:val="fr-BE"/>
        </w:rPr>
        <w:t>Reviving</w:t>
      </w:r>
      <w:proofErr w:type="spellEnd"/>
      <w:r w:rsidRPr="001F0FF2">
        <w:rPr>
          <w:rFonts w:cs="Times New Roman"/>
          <w:lang w:val="fr-BE"/>
        </w:rPr>
        <w:t xml:space="preserve"> Article II(c) of the </w:t>
      </w:r>
      <w:proofErr w:type="spellStart"/>
      <w:r w:rsidRPr="001F0FF2">
        <w:rPr>
          <w:rFonts w:cs="Times New Roman"/>
          <w:lang w:val="fr-BE"/>
        </w:rPr>
        <w:t>Genocide</w:t>
      </w:r>
      <w:proofErr w:type="spellEnd"/>
      <w:r w:rsidRPr="001F0FF2">
        <w:rPr>
          <w:rFonts w:cs="Times New Roman"/>
          <w:lang w:val="fr-BE"/>
        </w:rPr>
        <w:t xml:space="preserve"> Convention’ (2020) </w:t>
      </w:r>
      <w:r w:rsidRPr="001F0FF2">
        <w:rPr>
          <w:rFonts w:cs="Times New Roman"/>
          <w:i/>
          <w:iCs/>
          <w:lang w:val="fr-BE"/>
        </w:rPr>
        <w:t xml:space="preserve">Columbia Human </w:t>
      </w:r>
      <w:proofErr w:type="spellStart"/>
      <w:r w:rsidRPr="001F0FF2">
        <w:rPr>
          <w:rFonts w:cs="Times New Roman"/>
          <w:i/>
          <w:iCs/>
          <w:lang w:val="fr-BE"/>
        </w:rPr>
        <w:t>Rights</w:t>
      </w:r>
      <w:proofErr w:type="spellEnd"/>
      <w:r w:rsidRPr="001F0FF2">
        <w:rPr>
          <w:rFonts w:cs="Times New Roman"/>
          <w:i/>
          <w:iCs/>
          <w:lang w:val="fr-BE"/>
        </w:rPr>
        <w:t xml:space="preserve"> Law </w:t>
      </w:r>
      <w:proofErr w:type="spellStart"/>
      <w:r w:rsidRPr="001F0FF2">
        <w:rPr>
          <w:rFonts w:cs="Times New Roman"/>
          <w:i/>
          <w:iCs/>
          <w:lang w:val="fr-BE"/>
        </w:rPr>
        <w:t>Review</w:t>
      </w:r>
      <w:proofErr w:type="spellEnd"/>
      <w:r w:rsidRPr="001F0FF2">
        <w:rPr>
          <w:rFonts w:cs="Times New Roman"/>
          <w:lang w:val="fr-BE"/>
        </w:rPr>
        <w:t>, 106-107</w:t>
      </w:r>
      <w:r w:rsidR="007E0E6F">
        <w:rPr>
          <w:rFonts w:cs="Times New Roman"/>
          <w:lang w:val="fr-BE"/>
        </w:rPr>
        <w:t>.</w:t>
      </w:r>
    </w:p>
  </w:footnote>
  <w:footnote w:id="122">
    <w:p w14:paraId="0BB1EBAA" w14:textId="3381C8DB" w:rsidR="00335066" w:rsidRPr="001F0FF2" w:rsidRDefault="0033506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(ICTR Trial Chamber, 2 September 1998) para 505-506.</w:t>
      </w:r>
    </w:p>
  </w:footnote>
  <w:footnote w:id="123">
    <w:p w14:paraId="0BB2B5A3" w14:textId="18F8A1A6" w:rsidR="00335066" w:rsidRPr="001F0FF2" w:rsidRDefault="0033506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nl-NL"/>
        </w:rPr>
        <w:t xml:space="preserve">Art II(c) Genocide </w:t>
      </w:r>
      <w:proofErr w:type="spellStart"/>
      <w:r w:rsidRPr="001F0FF2">
        <w:rPr>
          <w:rFonts w:cs="Times New Roman"/>
          <w:lang w:val="nl-NL"/>
        </w:rPr>
        <w:t>Convention</w:t>
      </w:r>
      <w:proofErr w:type="spellEnd"/>
      <w:r w:rsidRPr="001F0FF2">
        <w:rPr>
          <w:rFonts w:cs="Times New Roman"/>
          <w:lang w:val="nl-NL"/>
        </w:rPr>
        <w:t xml:space="preserve">; </w:t>
      </w:r>
      <w:r w:rsidRPr="001F0FF2">
        <w:rPr>
          <w:rStyle w:val="Nadruk"/>
          <w:rFonts w:cs="Times New Roman"/>
        </w:rPr>
        <w:t>Prosecutor v Akayesu</w:t>
      </w:r>
      <w:r w:rsidRPr="001F0FF2">
        <w:rPr>
          <w:rFonts w:cs="Times New Roman"/>
        </w:rPr>
        <w:t xml:space="preserve"> (Judgment) ICTR-96-4-T (ICTR Trial Chamber, 2 September 1998) para 506.</w:t>
      </w:r>
    </w:p>
  </w:footnote>
  <w:footnote w:id="124">
    <w:p w14:paraId="3D220B4C" w14:textId="5396BCAC" w:rsidR="007F5A68" w:rsidRPr="001F0FF2" w:rsidRDefault="007F5A6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Kayishema and Ruzindana</w:t>
      </w:r>
      <w:r w:rsidRPr="001F0FF2">
        <w:rPr>
          <w:rFonts w:cs="Times New Roman"/>
        </w:rPr>
        <w:t xml:space="preserve"> (Judgment) ICTR-95-1-T (ICTR Trial Chamber, 21 May 1999) paras 115-116.</w:t>
      </w:r>
    </w:p>
  </w:footnote>
  <w:footnote w:id="125">
    <w:p w14:paraId="7CB17184" w14:textId="2BA4A244" w:rsidR="00503CFB" w:rsidRPr="001F0FF2" w:rsidRDefault="00503CF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r w:rsidRPr="001F0FF2">
        <w:rPr>
          <w:rFonts w:cs="Times New Roman"/>
          <w:lang w:val="nl-NL"/>
        </w:rPr>
        <w:t>.</w:t>
      </w:r>
    </w:p>
  </w:footnote>
  <w:footnote w:id="126">
    <w:p w14:paraId="2E76F4D5" w14:textId="10F7B440" w:rsidR="001F1C7B" w:rsidRPr="001F0FF2" w:rsidRDefault="001F1C7B"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Elisa Novic, </w:t>
      </w:r>
      <w:r w:rsidRPr="001F0FF2">
        <w:rPr>
          <w:rStyle w:val="Nadruk"/>
          <w:rFonts w:cs="Times New Roman"/>
        </w:rPr>
        <w:t>The Concept of Cultural Genocide: An International Law Perspective</w:t>
      </w:r>
      <w:r w:rsidRPr="001F0FF2">
        <w:rPr>
          <w:rFonts w:cs="Times New Roman"/>
        </w:rPr>
        <w:t xml:space="preserve"> (Oxford University Press 2016) 135-137.</w:t>
      </w:r>
    </w:p>
  </w:footnote>
  <w:footnote w:id="127">
    <w:p w14:paraId="4F8355E9" w14:textId="65942006" w:rsidR="00A373E0" w:rsidRPr="001F0FF2" w:rsidRDefault="00A373E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Krstić</w:t>
      </w:r>
      <w:r w:rsidRPr="001F0FF2">
        <w:rPr>
          <w:rFonts w:cs="Times New Roman"/>
        </w:rPr>
        <w:t xml:space="preserve"> (Judgment) IT-98-33-T (ICTY Trial Chamber, 2 August 2001) paras 1-2.</w:t>
      </w:r>
    </w:p>
  </w:footnote>
  <w:footnote w:id="128">
    <w:p w14:paraId="187F5722" w14:textId="2768ADB8" w:rsidR="00A373E0" w:rsidRPr="001F0FF2" w:rsidRDefault="00A373E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Krstić</w:t>
      </w:r>
      <w:r w:rsidRPr="001F0FF2">
        <w:rPr>
          <w:rFonts w:cs="Times New Roman"/>
        </w:rPr>
        <w:t xml:space="preserve"> (Judgment) IT-98-33-T (ICTY Trial Chamber, 2 August 2001) para 562.</w:t>
      </w:r>
    </w:p>
  </w:footnote>
  <w:footnote w:id="129">
    <w:p w14:paraId="330F075C" w14:textId="3C4AF15E" w:rsidR="00A373E0" w:rsidRPr="001F0FF2" w:rsidRDefault="00A373E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9512C5" w:rsidRPr="001F0FF2">
        <w:rPr>
          <w:rStyle w:val="Nadruk"/>
          <w:rFonts w:cs="Times New Roman"/>
        </w:rPr>
        <w:t>Prosecutor v Krstić</w:t>
      </w:r>
      <w:r w:rsidR="009512C5" w:rsidRPr="001F0FF2">
        <w:rPr>
          <w:rFonts w:cs="Times New Roman"/>
        </w:rPr>
        <w:t xml:space="preserve"> (Judgment) IT-98-33-T (ICTY Trial Chamber, 2 August 2001) para 580.</w:t>
      </w:r>
    </w:p>
  </w:footnote>
  <w:footnote w:id="130">
    <w:p w14:paraId="1E679BE6" w14:textId="1092811B" w:rsidR="00655E82" w:rsidRPr="001F0FF2" w:rsidRDefault="00655E8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Krstić</w:t>
      </w:r>
      <w:r w:rsidRPr="001F0FF2">
        <w:rPr>
          <w:rFonts w:cs="Times New Roman"/>
        </w:rPr>
        <w:t xml:space="preserve"> (Judgment) IT-98-33-T (ICTY Trial Chamber, 2 August 2001) para 1-2.</w:t>
      </w:r>
    </w:p>
  </w:footnote>
  <w:footnote w:id="131">
    <w:p w14:paraId="6221E930" w14:textId="783FBF7C" w:rsidR="00655E82" w:rsidRPr="001F0FF2" w:rsidRDefault="00655E82"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Pr="001F0FF2">
        <w:rPr>
          <w:rFonts w:cs="Times New Roman"/>
          <w:i/>
          <w:iCs/>
        </w:rPr>
        <w:t>Prosecutor v Stakić</w:t>
      </w:r>
      <w:r w:rsidRPr="001F0FF2">
        <w:rPr>
          <w:rFonts w:cs="Times New Roman"/>
        </w:rPr>
        <w:t xml:space="preserve"> (Judgment) IT-97-24-T (ICTY Trial Chamber, 31 July 2003) paras 517-521.</w:t>
      </w:r>
    </w:p>
  </w:footnote>
  <w:footnote w:id="132">
    <w:p w14:paraId="6DD05F69" w14:textId="448A201B" w:rsidR="004F3D65" w:rsidRPr="001F0FF2" w:rsidRDefault="004F3D6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312084" w:rsidRPr="001F0FF2">
        <w:rPr>
          <w:rFonts w:cs="Times New Roman"/>
          <w:i/>
          <w:iCs/>
        </w:rPr>
        <w:t>Prosecutor v Stakić</w:t>
      </w:r>
      <w:r w:rsidR="00312084" w:rsidRPr="001F0FF2">
        <w:rPr>
          <w:rFonts w:cs="Times New Roman"/>
        </w:rPr>
        <w:t xml:space="preserve"> (Judgment) IT-97-24-T (ICTY Trial Chamber, 31 July 2003) paras 517-51</w:t>
      </w:r>
      <w:r w:rsidR="00122D21" w:rsidRPr="001F0FF2">
        <w:rPr>
          <w:rFonts w:cs="Times New Roman"/>
        </w:rPr>
        <w:t xml:space="preserve">9; Claus Kreß, ‘The Crime of Genocide under International Law’ (2006) 6 </w:t>
      </w:r>
      <w:r w:rsidR="00122D21" w:rsidRPr="001F0FF2">
        <w:rPr>
          <w:rStyle w:val="Nadruk"/>
          <w:rFonts w:cs="Times New Roman"/>
        </w:rPr>
        <w:t>International Criminal Law Review</w:t>
      </w:r>
      <w:r w:rsidR="00122D21" w:rsidRPr="001F0FF2">
        <w:rPr>
          <w:rFonts w:cs="Times New Roman"/>
        </w:rPr>
        <w:t>, 482.</w:t>
      </w:r>
    </w:p>
  </w:footnote>
  <w:footnote w:id="133">
    <w:p w14:paraId="4B6C1CDE" w14:textId="6691CB8C" w:rsidR="00312084" w:rsidRPr="001F0FF2" w:rsidRDefault="00312084" w:rsidP="00C06674">
      <w:pPr>
        <w:pStyle w:val="Voetnoottekst"/>
        <w:jc w:val="both"/>
        <w:rPr>
          <w:rFonts w:cs="Times New Roman"/>
          <w:i/>
          <w:iCs/>
          <w:lang w:val="nl-NL"/>
        </w:rPr>
      </w:pPr>
      <w:r w:rsidRPr="001F0FF2">
        <w:rPr>
          <w:rStyle w:val="Voetnootmarkering"/>
          <w:rFonts w:cs="Times New Roman"/>
        </w:rPr>
        <w:footnoteRef/>
      </w:r>
      <w:r w:rsidRPr="001F0FF2">
        <w:rPr>
          <w:rFonts w:cs="Times New Roman"/>
        </w:rPr>
        <w:t xml:space="preserve"> </w:t>
      </w:r>
      <w:r w:rsidRPr="001F0FF2">
        <w:rPr>
          <w:rFonts w:cs="Times New Roman"/>
          <w:i/>
          <w:iCs/>
        </w:rPr>
        <w:t>Ibid.</w:t>
      </w:r>
    </w:p>
  </w:footnote>
  <w:footnote w:id="134">
    <w:p w14:paraId="4FEF8079" w14:textId="0AAE63F0" w:rsidR="00640C90" w:rsidRPr="001F0FF2" w:rsidRDefault="00640C9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Brđanin</w:t>
      </w:r>
      <w:r w:rsidRPr="001F0FF2">
        <w:rPr>
          <w:rFonts w:cs="Times New Roman"/>
        </w:rPr>
        <w:t xml:space="preserve"> (Judgment) IT-99-36-T (ICTY Trial Chamber, 1 September 2004) para 691; </w:t>
      </w:r>
      <w:r w:rsidRPr="001F0FF2">
        <w:rPr>
          <w:rStyle w:val="Nadruk"/>
          <w:rFonts w:cs="Times New Roman"/>
        </w:rPr>
        <w:t>Prosecutor v Stakić</w:t>
      </w:r>
      <w:r w:rsidRPr="001F0FF2">
        <w:rPr>
          <w:rFonts w:cs="Times New Roman"/>
        </w:rPr>
        <w:t xml:space="preserve"> (Judgment) IT-97-24-T (ICTY Trial Chamber, 31 July 2003) paras 517-518.</w:t>
      </w:r>
    </w:p>
  </w:footnote>
  <w:footnote w:id="135">
    <w:p w14:paraId="37CCEE9F" w14:textId="50CA8D21" w:rsidR="0026308C" w:rsidRPr="001F0FF2" w:rsidRDefault="0026308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Omar Hassan Ahmad Al Bashir</w:t>
      </w:r>
      <w:r w:rsidRPr="001F0FF2">
        <w:rPr>
          <w:rFonts w:cs="Times New Roman"/>
        </w:rPr>
        <w:t xml:space="preserve"> (Second Decision on the Prosecution’s Application for a Warrant of Arrest) ICC-02/05-01/09 (Pre-Trial Chamber I, 12 July 2010) para 33.</w:t>
      </w:r>
    </w:p>
  </w:footnote>
  <w:footnote w:id="136">
    <w:p w14:paraId="46C69660" w14:textId="40F186E2" w:rsidR="00E402C1" w:rsidRPr="001F0FF2" w:rsidRDefault="00E402C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Omar Hassan Ahmad Al Bashir</w:t>
      </w:r>
      <w:r w:rsidRPr="001F0FF2">
        <w:rPr>
          <w:rFonts w:cs="Times New Roman"/>
        </w:rPr>
        <w:t xml:space="preserve"> (Second Decision on the Prosecution’s Application for a Warrant of Arrest) ICC-02/05-01/09 (Pre-Trial Chamber I, 12 July 2010) para 33-34.</w:t>
      </w:r>
    </w:p>
  </w:footnote>
  <w:footnote w:id="137">
    <w:p w14:paraId="4743F341" w14:textId="7DC16A67" w:rsidR="00E402C1" w:rsidRPr="001F0FF2" w:rsidRDefault="00E402C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p>
  </w:footnote>
  <w:footnote w:id="138">
    <w:p w14:paraId="53C95ADA" w14:textId="243B907C" w:rsidR="00E402C1" w:rsidRPr="001F0FF2" w:rsidRDefault="00E402C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p>
  </w:footnote>
  <w:footnote w:id="139">
    <w:p w14:paraId="090D859C" w14:textId="0E1D7B1E" w:rsidR="00187457" w:rsidRPr="001F0FF2" w:rsidRDefault="0018745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FC23AC" w:rsidRPr="001F0FF2">
        <w:rPr>
          <w:rFonts w:cs="Times New Roman"/>
          <w:i/>
          <w:iCs/>
        </w:rPr>
        <w:t>Ibid</w:t>
      </w:r>
      <w:r w:rsidR="00FC23AC" w:rsidRPr="001F0FF2">
        <w:rPr>
          <w:rFonts w:cs="Times New Roman"/>
        </w:rPr>
        <w:t>.</w:t>
      </w:r>
    </w:p>
  </w:footnote>
  <w:footnote w:id="140">
    <w:p w14:paraId="4CD16D43" w14:textId="15C2B793" w:rsidR="00FC23AC" w:rsidRPr="001F0FF2" w:rsidRDefault="00FC23A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8E5A31">
        <w:rPr>
          <w:rFonts w:cs="Times New Roman"/>
        </w:rPr>
        <w:t>UNEP</w:t>
      </w:r>
      <w:r w:rsidRPr="001F0FF2">
        <w:rPr>
          <w:rFonts w:cs="Times New Roman"/>
        </w:rPr>
        <w:t xml:space="preserve">, </w:t>
      </w:r>
      <w:r w:rsidRPr="001F0FF2">
        <w:rPr>
          <w:rStyle w:val="Nadruk"/>
          <w:rFonts w:cs="Times New Roman"/>
        </w:rPr>
        <w:t>Rapid Environmental Assessment of Kakhovka Dam Breach, Ukraine 2023</w:t>
      </w:r>
      <w:r w:rsidRPr="001F0FF2">
        <w:rPr>
          <w:rFonts w:cs="Times New Roman"/>
        </w:rPr>
        <w:t xml:space="preserve"> (UNEP 2023).</w:t>
      </w:r>
    </w:p>
  </w:footnote>
  <w:footnote w:id="141">
    <w:p w14:paraId="7BE13C59" w14:textId="1E4DF46A" w:rsidR="00E95B85" w:rsidRPr="001F0FF2" w:rsidRDefault="00646F98" w:rsidP="00C06674">
      <w:pPr>
        <w:pStyle w:val="Voetnoottekst"/>
        <w:jc w:val="both"/>
        <w:rPr>
          <w:rFonts w:cs="Times New Roman"/>
          <w:lang w:val="nl-NL"/>
        </w:rPr>
      </w:pPr>
      <w:r w:rsidRPr="001F0FF2">
        <w:rPr>
          <w:rStyle w:val="Voetnootmarkering"/>
          <w:rFonts w:cs="Times New Roman"/>
        </w:rPr>
        <w:footnoteRef/>
      </w:r>
      <w:r w:rsidR="00E95B85" w:rsidRPr="001F0FF2">
        <w:rPr>
          <w:rStyle w:val="Nadruk"/>
          <w:rFonts w:cs="Times New Roman"/>
        </w:rPr>
        <w:t>Prosecutor v Omar Hassan Ahmad Al Bashir</w:t>
      </w:r>
      <w:r w:rsidR="00E95B85" w:rsidRPr="001F0FF2">
        <w:rPr>
          <w:rFonts w:cs="Times New Roman"/>
        </w:rPr>
        <w:t xml:space="preserve"> (Second Decision on the Prosecution’s Application for a Warrant of Arrest) ICC-02/05-01/09 (Pre-Trial Chamber I, 12 July 2010) para 34.</w:t>
      </w:r>
    </w:p>
  </w:footnote>
  <w:footnote w:id="142">
    <w:p w14:paraId="4BC77FE8" w14:textId="41EA69ED" w:rsidR="00646F98" w:rsidRPr="001F0FF2" w:rsidRDefault="00646F9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186-188.</w:t>
      </w:r>
    </w:p>
  </w:footnote>
  <w:footnote w:id="143">
    <w:p w14:paraId="56883B5A" w14:textId="7E8141BE" w:rsidR="00646F98" w:rsidRPr="001F0FF2" w:rsidRDefault="00646F9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376-377.</w:t>
      </w:r>
    </w:p>
  </w:footnote>
  <w:footnote w:id="144">
    <w:p w14:paraId="21F37A54" w14:textId="45573A25" w:rsidR="001F1550" w:rsidRPr="001F0FF2" w:rsidRDefault="001F155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w:t>
      </w:r>
      <w:r w:rsidR="00FD4C0D" w:rsidRPr="001F0FF2">
        <w:rPr>
          <w:rFonts w:cs="Times New Roman"/>
        </w:rPr>
        <w:t>186-190</w:t>
      </w:r>
      <w:r w:rsidR="00C7415B">
        <w:rPr>
          <w:rFonts w:cs="Times New Roman"/>
        </w:rPr>
        <w:t>.</w:t>
      </w:r>
    </w:p>
  </w:footnote>
  <w:footnote w:id="145">
    <w:p w14:paraId="7BBF92F4" w14:textId="20373ADC" w:rsidR="00FD4C0D" w:rsidRPr="001F0FF2" w:rsidRDefault="00FD4C0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374-376.</w:t>
      </w:r>
    </w:p>
  </w:footnote>
  <w:footnote w:id="146">
    <w:p w14:paraId="259F2AFA" w14:textId="07550CBB" w:rsidR="00C06674" w:rsidRPr="00C06674" w:rsidRDefault="00C06674" w:rsidP="00C06674">
      <w:pPr>
        <w:pStyle w:val="Voetnoottekst"/>
        <w:jc w:val="both"/>
        <w:rPr>
          <w:lang w:val="nl-NL"/>
        </w:rPr>
      </w:pPr>
      <w:r>
        <w:rPr>
          <w:rStyle w:val="Voetnootmarkering"/>
        </w:rPr>
        <w:footnoteRef/>
      </w:r>
      <w:r>
        <w:t xml:space="preserve">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w:t>
      </w:r>
      <w:r>
        <w:rPr>
          <w:rFonts w:cs="Times New Roman"/>
        </w:rPr>
        <w:t>.</w:t>
      </w:r>
    </w:p>
  </w:footnote>
  <w:footnote w:id="147">
    <w:p w14:paraId="62412459" w14:textId="7D667D7E" w:rsidR="004677C2" w:rsidRPr="001F0FF2" w:rsidRDefault="004677C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161.</w:t>
      </w:r>
    </w:p>
  </w:footnote>
  <w:footnote w:id="148">
    <w:p w14:paraId="53CAEC84" w14:textId="3F65CB4E" w:rsidR="00AD4021" w:rsidRPr="001F0FF2" w:rsidRDefault="00AD402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386.</w:t>
      </w:r>
    </w:p>
  </w:footnote>
  <w:footnote w:id="149">
    <w:p w14:paraId="71710F41" w14:textId="459C33E7" w:rsidR="00AD4021" w:rsidRPr="001F0FF2" w:rsidRDefault="00AD402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386-388.</w:t>
      </w:r>
    </w:p>
  </w:footnote>
  <w:footnote w:id="150">
    <w:p w14:paraId="00B2E406" w14:textId="009DF0CF" w:rsidR="00AD4021" w:rsidRPr="001F0FF2" w:rsidRDefault="00AD402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fr-BE"/>
        </w:rPr>
        <w:t xml:space="preserve">Application of the Convention on the Prevention and </w:t>
      </w:r>
      <w:proofErr w:type="spellStart"/>
      <w:r w:rsidRPr="001F0FF2">
        <w:rPr>
          <w:rFonts w:cs="Times New Roman"/>
          <w:i/>
          <w:iCs/>
          <w:lang w:val="fr-BE"/>
        </w:rPr>
        <w:t>Punishment</w:t>
      </w:r>
      <w:proofErr w:type="spellEnd"/>
      <w:r w:rsidRPr="001F0FF2">
        <w:rPr>
          <w:rFonts w:cs="Times New Roman"/>
          <w:i/>
          <w:iCs/>
          <w:lang w:val="fr-BE"/>
        </w:rPr>
        <w:t xml:space="preserve"> of the Crime of </w:t>
      </w:r>
      <w:proofErr w:type="spellStart"/>
      <w:r w:rsidRPr="001F0FF2">
        <w:rPr>
          <w:rFonts w:cs="Times New Roman"/>
          <w:i/>
          <w:iCs/>
          <w:lang w:val="fr-BE"/>
        </w:rPr>
        <w:t>Genocide</w:t>
      </w:r>
      <w:proofErr w:type="spellEnd"/>
      <w:r w:rsidRPr="001F0FF2">
        <w:rPr>
          <w:rFonts w:cs="Times New Roman"/>
          <w:i/>
          <w:iCs/>
          <w:lang w:val="fr-BE"/>
        </w:rPr>
        <w:t xml:space="preserve"> (</w:t>
      </w:r>
      <w:proofErr w:type="spellStart"/>
      <w:r w:rsidRPr="001F0FF2">
        <w:rPr>
          <w:rFonts w:cs="Times New Roman"/>
          <w:i/>
          <w:iCs/>
          <w:lang w:val="fr-BE"/>
        </w:rPr>
        <w:t>Croatia</w:t>
      </w:r>
      <w:proofErr w:type="spellEnd"/>
      <w:r w:rsidRPr="001F0FF2">
        <w:rPr>
          <w:rFonts w:cs="Times New Roman"/>
          <w:i/>
          <w:iCs/>
          <w:lang w:val="fr-BE"/>
        </w:rPr>
        <w:t xml:space="preserve"> v Serbia)</w:t>
      </w:r>
      <w:r w:rsidRPr="001F0FF2">
        <w:rPr>
          <w:rFonts w:cs="Times New Roman"/>
          <w:lang w:val="fr-BE"/>
        </w:rPr>
        <w:t xml:space="preserve"> [2015] ICJ Rep 3, paras 401</w:t>
      </w:r>
      <w:r w:rsidR="008E5A31">
        <w:rPr>
          <w:rFonts w:cs="Times New Roman"/>
          <w:lang w:val="fr-BE"/>
        </w:rPr>
        <w:t>-</w:t>
      </w:r>
      <w:r w:rsidRPr="001F0FF2">
        <w:rPr>
          <w:rFonts w:cs="Times New Roman"/>
          <w:lang w:val="fr-BE"/>
        </w:rPr>
        <w:t>404.</w:t>
      </w:r>
    </w:p>
  </w:footnote>
  <w:footnote w:id="151">
    <w:p w14:paraId="08A27540" w14:textId="33C87639" w:rsidR="00AB63BC" w:rsidRPr="001F0FF2" w:rsidRDefault="00AB63B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Maximilian, ‘The “Slow Death” clause: Why Article II(c) is the strongest case for genocide in Gaza’ (Medium, 28 April 2026) https://medium.com/@m4xim1l1an/the-slow-death-clause-why-article-ii-c-is-the-strongest-case-for-genocide-in-gaza-342c3bdfa6b1 accessed 14 May 2026.</w:t>
      </w:r>
    </w:p>
  </w:footnote>
  <w:footnote w:id="152">
    <w:p w14:paraId="1EAD77B1" w14:textId="6C2ABC1A" w:rsidR="00AB63BC" w:rsidRPr="001F0FF2" w:rsidRDefault="00AB63BC"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386-388; </w:t>
      </w:r>
      <w:r w:rsidRPr="001F0FF2">
        <w:rPr>
          <w:rStyle w:val="Nadruk"/>
          <w:rFonts w:cs="Times New Roman"/>
        </w:rPr>
        <w:t>Prosecutor v Krstić</w:t>
      </w:r>
      <w:r w:rsidRPr="001F0FF2">
        <w:rPr>
          <w:rFonts w:cs="Times New Roman"/>
        </w:rPr>
        <w:t xml:space="preserve"> (Judgment) IT-98-33-T (ICTY Trial Chamber, 2 August 2001) para 562-563.</w:t>
      </w:r>
    </w:p>
  </w:footnote>
  <w:footnote w:id="153">
    <w:p w14:paraId="68D765DD" w14:textId="5541948D" w:rsidR="00292979" w:rsidRPr="001F0FF2" w:rsidRDefault="0029297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Prosecutor v Stakić</w:t>
      </w:r>
      <w:r w:rsidRPr="001F0FF2">
        <w:rPr>
          <w:rFonts w:cs="Times New Roman"/>
        </w:rPr>
        <w:t xml:space="preserve"> (Judgment) IT-97-24-T (ICTY Trial Chamber, 31 July 2003) paras 517-518; </w:t>
      </w:r>
      <w:r w:rsidRPr="001F0FF2">
        <w:rPr>
          <w:rStyle w:val="Nadruk"/>
          <w:rFonts w:cs="Times New Roman"/>
        </w:rPr>
        <w:t>Prosecutor v Omar Hassan Ahmad Al Bashir</w:t>
      </w:r>
      <w:r w:rsidRPr="001F0FF2">
        <w:rPr>
          <w:rFonts w:cs="Times New Roman"/>
        </w:rPr>
        <w:t xml:space="preserve"> (Second Decision on the Prosecution’s Application for a Warrant of Arrest) ICC-02/05-01/09 (Pre-Trial Chamber I, 12 July 2010) para 33-34;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161.</w:t>
      </w:r>
    </w:p>
  </w:footnote>
  <w:footnote w:id="154">
    <w:p w14:paraId="19D5EB20" w14:textId="4B8D70EA" w:rsidR="00871DB0" w:rsidRPr="001F0FF2" w:rsidRDefault="00871DB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(ICTR Trial Chamber, 2 September 1998) paras 498, 523; </w:t>
      </w:r>
      <w:r w:rsidRPr="001F0FF2">
        <w:rPr>
          <w:rStyle w:val="Nadruk"/>
          <w:rFonts w:cs="Times New Roman"/>
        </w:rPr>
        <w:t>Prosecutor v Krstić</w:t>
      </w:r>
      <w:r w:rsidRPr="001F0FF2">
        <w:rPr>
          <w:rFonts w:cs="Times New Roman"/>
        </w:rPr>
        <w:t xml:space="preserve"> (Judgment) IT-98-33-T (ICTY Trial Chamber, 2 August 2001) paras 571, 595; </w:t>
      </w:r>
      <w:r w:rsidRPr="001F0FF2">
        <w:rPr>
          <w:rStyle w:val="Nadruk"/>
          <w:rFonts w:cs="Times New Roman"/>
        </w:rPr>
        <w:t>Prosecutor v Omar Hassan Ahmad Al Bashir</w:t>
      </w:r>
      <w:r w:rsidRPr="001F0FF2">
        <w:rPr>
          <w:rFonts w:cs="Times New Roman"/>
        </w:rPr>
        <w:t xml:space="preserve"> (Second Decision on the Prosecution’s Application for a Warrant of Arrest) ICC-02/05-01/09 (Pre-Trial Chamber I, 12 July 2010) paras 36</w:t>
      </w:r>
      <w:r w:rsidR="008E5A31">
        <w:rPr>
          <w:rFonts w:cs="Times New Roman"/>
        </w:rPr>
        <w:t>-</w:t>
      </w:r>
      <w:r w:rsidRPr="001F0FF2">
        <w:rPr>
          <w:rFonts w:cs="Times New Roman"/>
        </w:rPr>
        <w:t xml:space="preserve">37;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186–188, 373;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paras 132, 440; </w:t>
      </w:r>
      <w:r w:rsidRPr="001F0FF2">
        <w:rPr>
          <w:rFonts w:cs="Times New Roman"/>
          <w:lang w:val="fr-BE"/>
        </w:rPr>
        <w:t xml:space="preserve">Adi Radhakrishnan, ‘An </w:t>
      </w:r>
      <w:proofErr w:type="spellStart"/>
      <w:r w:rsidRPr="001F0FF2">
        <w:rPr>
          <w:rFonts w:cs="Times New Roman"/>
          <w:lang w:val="fr-BE"/>
        </w:rPr>
        <w:t>Inherent</w:t>
      </w:r>
      <w:proofErr w:type="spellEnd"/>
      <w:r w:rsidRPr="001F0FF2">
        <w:rPr>
          <w:rFonts w:cs="Times New Roman"/>
          <w:lang w:val="fr-BE"/>
        </w:rPr>
        <w:t xml:space="preserve"> Right to Health: </w:t>
      </w:r>
      <w:proofErr w:type="spellStart"/>
      <w:r w:rsidRPr="001F0FF2">
        <w:rPr>
          <w:rFonts w:cs="Times New Roman"/>
          <w:lang w:val="fr-BE"/>
        </w:rPr>
        <w:t>Reviving</w:t>
      </w:r>
      <w:proofErr w:type="spellEnd"/>
      <w:r w:rsidRPr="001F0FF2">
        <w:rPr>
          <w:rFonts w:cs="Times New Roman"/>
          <w:lang w:val="fr-BE"/>
        </w:rPr>
        <w:t xml:space="preserve"> Article II(c) of the </w:t>
      </w:r>
      <w:proofErr w:type="spellStart"/>
      <w:r w:rsidRPr="001F0FF2">
        <w:rPr>
          <w:rFonts w:cs="Times New Roman"/>
          <w:lang w:val="fr-BE"/>
        </w:rPr>
        <w:t>Genocide</w:t>
      </w:r>
      <w:proofErr w:type="spellEnd"/>
      <w:r w:rsidRPr="001F0FF2">
        <w:rPr>
          <w:rFonts w:cs="Times New Roman"/>
          <w:lang w:val="fr-BE"/>
        </w:rPr>
        <w:t xml:space="preserve"> Convention’ (2020) </w:t>
      </w:r>
      <w:r w:rsidRPr="001F0FF2">
        <w:rPr>
          <w:rFonts w:cs="Times New Roman"/>
          <w:i/>
          <w:iCs/>
          <w:lang w:val="fr-BE"/>
        </w:rPr>
        <w:t xml:space="preserve">Columbia Human </w:t>
      </w:r>
      <w:proofErr w:type="spellStart"/>
      <w:r w:rsidRPr="001F0FF2">
        <w:rPr>
          <w:rFonts w:cs="Times New Roman"/>
          <w:i/>
          <w:iCs/>
          <w:lang w:val="fr-BE"/>
        </w:rPr>
        <w:t>Rights</w:t>
      </w:r>
      <w:proofErr w:type="spellEnd"/>
      <w:r w:rsidRPr="001F0FF2">
        <w:rPr>
          <w:rFonts w:cs="Times New Roman"/>
          <w:i/>
          <w:iCs/>
          <w:lang w:val="fr-BE"/>
        </w:rPr>
        <w:t xml:space="preserve"> Law </w:t>
      </w:r>
      <w:proofErr w:type="spellStart"/>
      <w:r w:rsidRPr="001F0FF2">
        <w:rPr>
          <w:rFonts w:cs="Times New Roman"/>
          <w:i/>
          <w:iCs/>
          <w:lang w:val="fr-BE"/>
        </w:rPr>
        <w:t>Review</w:t>
      </w:r>
      <w:proofErr w:type="spellEnd"/>
      <w:r w:rsidRPr="001F0FF2">
        <w:rPr>
          <w:rFonts w:cs="Times New Roman"/>
          <w:lang w:val="fr-BE"/>
        </w:rPr>
        <w:t>, 106-107.</w:t>
      </w:r>
    </w:p>
  </w:footnote>
  <w:footnote w:id="155">
    <w:p w14:paraId="426EFD18" w14:textId="15DBA6E9" w:rsidR="00D647C5" w:rsidRPr="001F0FF2" w:rsidRDefault="00D647C5"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Omar Hassan Ahmad Al Bashir</w:t>
      </w:r>
      <w:r w:rsidRPr="001F0FF2">
        <w:rPr>
          <w:rFonts w:cs="Times New Roman"/>
        </w:rPr>
        <w:t xml:space="preserve"> (Second Decision on the Prosecution’s Application for a Warrant of Arrest) ICC-02/05-01/09 (Pre-Trial Chamber I, 12 July 2010) para 33-34; </w:t>
      </w:r>
      <w:r w:rsidRPr="001F0FF2">
        <w:rPr>
          <w:rStyle w:val="Nadruk"/>
          <w:rFonts w:cs="Times New Roman"/>
        </w:rPr>
        <w:t>Application of the Convention on the Prevention and Punishment of the Crime of Genocide (Croatia v Serbia)</w:t>
      </w:r>
      <w:r w:rsidRPr="001F0FF2">
        <w:rPr>
          <w:rFonts w:cs="Times New Roman"/>
        </w:rPr>
        <w:t xml:space="preserve"> [2015] ICJ Rep 3, para 161.</w:t>
      </w:r>
    </w:p>
  </w:footnote>
  <w:footnote w:id="156">
    <w:p w14:paraId="295AE7BD" w14:textId="070664DE" w:rsidR="00C77FFD" w:rsidRPr="001F0FF2" w:rsidRDefault="00C77FF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UNEP, </w:t>
      </w:r>
      <w:r w:rsidRPr="001F0FF2">
        <w:rPr>
          <w:rStyle w:val="Nadruk"/>
          <w:rFonts w:cs="Times New Roman"/>
        </w:rPr>
        <w:t>Protecting the Environment During Armed Conflict: An Inventory and Analysis of International Law</w:t>
      </w:r>
      <w:r w:rsidRPr="001F0FF2">
        <w:rPr>
          <w:rFonts w:cs="Times New Roman"/>
        </w:rPr>
        <w:t xml:space="preserve"> (UNEP 2009) 3-5; </w:t>
      </w:r>
      <w:r w:rsidR="00EA0410" w:rsidRPr="001F0FF2">
        <w:rPr>
          <w:rFonts w:cs="Times New Roman"/>
        </w:rPr>
        <w:t>Polly Higgins, Damien Short and Nigel South, ‘Protecting the Planet: A Proposal for a Law of Ecocide’ (2013) 59 Crime, Law and Social Change 251-252.</w:t>
      </w:r>
    </w:p>
  </w:footnote>
  <w:footnote w:id="157">
    <w:p w14:paraId="20986FEC" w14:textId="713C6319" w:rsidR="00EA0410" w:rsidRPr="001F0FF2" w:rsidRDefault="00EA041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083624" w:rsidRPr="001F0FF2">
        <w:rPr>
          <w:rFonts w:cs="Times New Roman"/>
        </w:rPr>
        <w:t xml:space="preserve">International Criminal Court, </w:t>
      </w:r>
      <w:r w:rsidR="00083624" w:rsidRPr="001F0FF2">
        <w:rPr>
          <w:rStyle w:val="Nadruk"/>
          <w:rFonts w:cs="Times New Roman"/>
        </w:rPr>
        <w:t>Elements of Crimes</w:t>
      </w:r>
      <w:r w:rsidR="00083624" w:rsidRPr="001F0FF2">
        <w:rPr>
          <w:rFonts w:cs="Times New Roman"/>
        </w:rPr>
        <w:t xml:space="preserve"> </w:t>
      </w:r>
      <w:r w:rsidR="00083624" w:rsidRPr="001F0FF2">
        <w:rPr>
          <w:rFonts w:cs="Times New Roman"/>
        </w:rPr>
        <w:t>(ICC-ASP/1/3, 2002) art 6(c);</w:t>
      </w:r>
      <w:r w:rsidR="008E5A31">
        <w:rPr>
          <w:rFonts w:cs="Times New Roman"/>
        </w:rPr>
        <w:t xml:space="preserve"> </w:t>
      </w:r>
      <w:r w:rsidR="008E5A31" w:rsidRPr="001F0FF2">
        <w:rPr>
          <w:rStyle w:val="Nadruk"/>
          <w:rFonts w:cs="Times New Roman"/>
        </w:rPr>
        <w:t>Prosecutor v Akayesu</w:t>
      </w:r>
      <w:r w:rsidR="008E5A31" w:rsidRPr="001F0FF2">
        <w:rPr>
          <w:rFonts w:cs="Times New Roman"/>
        </w:rPr>
        <w:t xml:space="preserve"> (Judgment) ICTR-96-4-T (2 September 1998) para 505-506</w:t>
      </w:r>
      <w:r w:rsidR="008E5A31">
        <w:rPr>
          <w:rFonts w:cs="Times New Roman"/>
        </w:rPr>
        <w:t>;</w:t>
      </w:r>
      <w:r w:rsidR="00083624" w:rsidRPr="001F0FF2">
        <w:rPr>
          <w:rFonts w:cs="Times New Roman"/>
        </w:rPr>
        <w:t xml:space="preserve"> </w:t>
      </w:r>
      <w:r w:rsidRPr="001F0FF2">
        <w:rPr>
          <w:rStyle w:val="Nadruk"/>
          <w:rFonts w:cs="Times New Roman"/>
        </w:rPr>
        <w:t>Armed Activities on the Territory of the Congo (Democratic Republic of the Congo v Uganda)</w:t>
      </w:r>
      <w:r w:rsidRPr="001F0FF2">
        <w:rPr>
          <w:rFonts w:cs="Times New Roman"/>
        </w:rPr>
        <w:t xml:space="preserve"> (Judgment) [2005] ICJ Rep 168, para 244</w:t>
      </w:r>
      <w:r w:rsidR="008E5A31">
        <w:rPr>
          <w:rFonts w:cs="Times New Roman"/>
        </w:rPr>
        <w:t>.</w:t>
      </w:r>
    </w:p>
  </w:footnote>
  <w:footnote w:id="158">
    <w:p w14:paraId="3C397DBB" w14:textId="64777829" w:rsidR="00A51C9D" w:rsidRPr="001F0FF2" w:rsidRDefault="00A51C9D"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8E5A31">
        <w:rPr>
          <w:rStyle w:val="Nadruk"/>
        </w:rPr>
        <w:t>Legality of the Threat or Use of Nuclear Weapons</w:t>
      </w:r>
      <w:r w:rsidR="008E5A31">
        <w:t xml:space="preserve"> (Advisory Opinion) [1996] ICJ Rep 226, para 29; </w:t>
      </w:r>
      <w:r w:rsidR="008E5A31">
        <w:rPr>
          <w:rStyle w:val="Nadruk"/>
        </w:rPr>
        <w:t>Western Front, Aerial Bombardment and Related Claims (Eritrea’s Claim 26 v Ethiopia)</w:t>
      </w:r>
      <w:r w:rsidR="008E5A31">
        <w:t xml:space="preserve"> (Partial Award) EECC (19 December 2005) paras 95</w:t>
      </w:r>
      <w:r w:rsidR="008E5A31">
        <w:t>-</w:t>
      </w:r>
      <w:r w:rsidR="008E5A31">
        <w:t xml:space="preserve">101; Karen Hulme, </w:t>
      </w:r>
      <w:r w:rsidR="008E5A31">
        <w:rPr>
          <w:rStyle w:val="Nadruk"/>
        </w:rPr>
        <w:t>War Torn Environment: Interpreting the Legal Threshold</w:t>
      </w:r>
      <w:r w:rsidR="008E5A31">
        <w:t xml:space="preserve"> (Martinus Nijhoff 2004) 88</w:t>
      </w:r>
      <w:r w:rsidR="008E5A31">
        <w:t>-</w:t>
      </w:r>
      <w:r w:rsidR="008E5A31">
        <w:t>94.</w:t>
      </w:r>
    </w:p>
  </w:footnote>
  <w:footnote w:id="159">
    <w:p w14:paraId="23048AE8" w14:textId="1AEDEF0D" w:rsidR="00EE3A98" w:rsidRPr="001F0FF2" w:rsidRDefault="00EE3A98"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 506; William A Schabas, </w:t>
      </w:r>
      <w:r w:rsidRPr="001F0FF2">
        <w:rPr>
          <w:rStyle w:val="Nadruk"/>
          <w:rFonts w:cs="Times New Roman"/>
        </w:rPr>
        <w:t>Genocide in International Law: The Crime of Crimes</w:t>
      </w:r>
      <w:r w:rsidRPr="001F0FF2">
        <w:rPr>
          <w:rFonts w:cs="Times New Roman"/>
        </w:rPr>
        <w:t xml:space="preserve"> (2nd edn, C</w:t>
      </w:r>
      <w:r w:rsidR="008E5A31">
        <w:rPr>
          <w:rFonts w:cs="Times New Roman"/>
        </w:rPr>
        <w:t xml:space="preserve">ambridge </w:t>
      </w:r>
      <w:r w:rsidRPr="001F0FF2">
        <w:rPr>
          <w:rFonts w:cs="Times New Roman"/>
        </w:rPr>
        <w:t>U</w:t>
      </w:r>
      <w:r w:rsidR="008E5A31">
        <w:rPr>
          <w:rFonts w:cs="Times New Roman"/>
        </w:rPr>
        <w:t xml:space="preserve">niversity </w:t>
      </w:r>
      <w:r w:rsidRPr="001F0FF2">
        <w:rPr>
          <w:rFonts w:cs="Times New Roman"/>
        </w:rPr>
        <w:t>P</w:t>
      </w:r>
      <w:r w:rsidR="008E5A31">
        <w:rPr>
          <w:rFonts w:cs="Times New Roman"/>
        </w:rPr>
        <w:t>ress</w:t>
      </w:r>
      <w:r w:rsidRPr="001F0FF2">
        <w:rPr>
          <w:rFonts w:cs="Times New Roman"/>
        </w:rPr>
        <w:t xml:space="preserve"> 2009) 189-190.</w:t>
      </w:r>
    </w:p>
  </w:footnote>
  <w:footnote w:id="160">
    <w:p w14:paraId="20AB710D" w14:textId="4CC97352" w:rsidR="00EE3A98" w:rsidRPr="008E5A31" w:rsidRDefault="00EE3A98"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8E5A31" w:rsidRPr="008E5A31">
        <w:rPr>
          <w:rFonts w:cs="Times New Roman"/>
        </w:rPr>
        <w:t xml:space="preserve">nternational Criminal Court, </w:t>
      </w:r>
      <w:r w:rsidR="008E5A31" w:rsidRPr="008E5A31">
        <w:rPr>
          <w:rFonts w:cs="Times New Roman"/>
          <w:i/>
          <w:iCs/>
        </w:rPr>
        <w:t>Elements of Crimes</w:t>
      </w:r>
      <w:r w:rsidR="008E5A31" w:rsidRPr="008E5A31">
        <w:rPr>
          <w:rFonts w:cs="Times New Roman"/>
        </w:rPr>
        <w:t xml:space="preserve"> (ICC-ASP/1/3, 2002) art 6(c); </w:t>
      </w:r>
      <w:r w:rsidR="008E5A31" w:rsidRPr="008E5A31">
        <w:rPr>
          <w:rFonts w:cs="Times New Roman"/>
          <w:i/>
          <w:iCs/>
        </w:rPr>
        <w:t>Prosecutor v Al Bashir</w:t>
      </w:r>
      <w:r w:rsidR="008E5A31" w:rsidRPr="008E5A31">
        <w:rPr>
          <w:rFonts w:cs="Times New Roman"/>
        </w:rPr>
        <w:t xml:space="preserve"> (Second Decision on the Prosecution’s Application for a Warrant of Arrest) ICC-02/05-01/09 (12 July 2010) paras 124–126; Jean-Marie Henckaerts, Louise Doswald-Beck, Carolin Alvermann, Knut Dörmann and Baptiste Rolle, </w:t>
      </w:r>
      <w:r w:rsidR="008E5A31" w:rsidRPr="008E5A31">
        <w:rPr>
          <w:rFonts w:cs="Times New Roman"/>
          <w:i/>
          <w:iCs/>
        </w:rPr>
        <w:t>Customary International Humanitarian Law</w:t>
      </w:r>
      <w:r w:rsidR="008E5A31" w:rsidRPr="008E5A31">
        <w:rPr>
          <w:rFonts w:cs="Times New Roman"/>
        </w:rPr>
        <w:t xml:space="preserve"> (Cambridge University Press 2005) 155.</w:t>
      </w:r>
    </w:p>
  </w:footnote>
  <w:footnote w:id="161">
    <w:p w14:paraId="57692798" w14:textId="154CE0F1" w:rsidR="00EE3A98" w:rsidRPr="008E5A31" w:rsidRDefault="00EE3A98"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008E5A31" w:rsidRPr="008E5A31">
        <w:rPr>
          <w:rFonts w:cs="Times New Roman"/>
        </w:rPr>
        <w:t>Convention on the Prohibition of Military or Any Other Hostile Use of Environmental Modification Techniques (opened for signature 18 May 1977, entered into force 5 October 1978) 1108 UNTS 151 art I; Protocol Additional to the Geneva Conventions of 12 August 1949, and relating to the Protection of Victims of International Armed Conflicts (Protocol I) (adopted 8 June 1977, entered into force 7 December 1978) 1125 UNTS 3 arts 35(3) and 55.</w:t>
      </w:r>
    </w:p>
  </w:footnote>
  <w:footnote w:id="162">
    <w:p w14:paraId="16436BD2" w14:textId="705D8085" w:rsidR="004A0842" w:rsidRPr="001F0FF2" w:rsidRDefault="004A084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Karen Hulme, </w:t>
      </w:r>
      <w:r w:rsidRPr="001F0FF2">
        <w:rPr>
          <w:rStyle w:val="Nadruk"/>
          <w:rFonts w:cs="Times New Roman"/>
        </w:rPr>
        <w:t>War Torn Environment: Interpreting the Legal Threshold</w:t>
      </w:r>
      <w:r w:rsidRPr="001F0FF2">
        <w:rPr>
          <w:rFonts w:cs="Times New Roman"/>
        </w:rPr>
        <w:t xml:space="preserve"> (Martinus Nijhoff 2004), 89-94.</w:t>
      </w:r>
    </w:p>
  </w:footnote>
  <w:footnote w:id="163">
    <w:p w14:paraId="7279CF72" w14:textId="682723B9" w:rsidR="002432CF" w:rsidRPr="001F0FF2" w:rsidRDefault="002432C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Yoram Dinstein, </w:t>
      </w:r>
      <w:r w:rsidRPr="001F0FF2">
        <w:rPr>
          <w:rStyle w:val="Nadruk"/>
          <w:rFonts w:cs="Times New Roman"/>
        </w:rPr>
        <w:t>The Conduct of Hostilities under the Law of International Armed Conflict</w:t>
      </w:r>
      <w:r w:rsidRPr="001F0FF2">
        <w:rPr>
          <w:rFonts w:cs="Times New Roman"/>
        </w:rPr>
        <w:t xml:space="preserve"> (3rd edn, C</w:t>
      </w:r>
      <w:r w:rsidR="00EA4EE0">
        <w:rPr>
          <w:rFonts w:cs="Times New Roman"/>
        </w:rPr>
        <w:t xml:space="preserve">ambridge </w:t>
      </w:r>
      <w:r w:rsidRPr="001F0FF2">
        <w:rPr>
          <w:rFonts w:cs="Times New Roman"/>
        </w:rPr>
        <w:t>U</w:t>
      </w:r>
      <w:r w:rsidR="00EA4EE0">
        <w:rPr>
          <w:rFonts w:cs="Times New Roman"/>
        </w:rPr>
        <w:t xml:space="preserve">niversity </w:t>
      </w:r>
      <w:r w:rsidRPr="001F0FF2">
        <w:rPr>
          <w:rFonts w:cs="Times New Roman"/>
        </w:rPr>
        <w:t>P</w:t>
      </w:r>
      <w:r w:rsidR="00EA4EE0">
        <w:rPr>
          <w:rFonts w:cs="Times New Roman"/>
        </w:rPr>
        <w:t>ress</w:t>
      </w:r>
      <w:r w:rsidRPr="001F0FF2">
        <w:rPr>
          <w:rFonts w:cs="Times New Roman"/>
        </w:rPr>
        <w:t xml:space="preserve"> 2016) 230-231.</w:t>
      </w:r>
    </w:p>
  </w:footnote>
  <w:footnote w:id="164">
    <w:p w14:paraId="419B55C0" w14:textId="1582960F" w:rsidR="00227541" w:rsidRPr="001F0FF2" w:rsidRDefault="0022754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Legality of the Threat or Use of Nuclear Weapons</w:t>
      </w:r>
      <w:r w:rsidRPr="001F0FF2">
        <w:rPr>
          <w:rFonts w:cs="Times New Roman"/>
        </w:rPr>
        <w:t xml:space="preserve">, Advisory Opinion, ICJ Reports 1996, para. 29; International Committee of the Red Cross (ICRC), </w:t>
      </w:r>
      <w:r w:rsidRPr="001F0FF2">
        <w:rPr>
          <w:rStyle w:val="Nadruk"/>
          <w:rFonts w:cs="Times New Roman"/>
        </w:rPr>
        <w:t>Guidelines on the Protection of the Natural Environment in Armed Conflict</w:t>
      </w:r>
      <w:r w:rsidRPr="001F0FF2">
        <w:rPr>
          <w:rFonts w:cs="Times New Roman"/>
        </w:rPr>
        <w:t xml:space="preserve"> (2020), 11; Jean-Marie Henckaerts, Louise Doswald-Beck, Carolin Alvermann, Knut Dörmann and Baptiste Rolle, </w:t>
      </w:r>
      <w:r w:rsidRPr="001F0FF2">
        <w:rPr>
          <w:rStyle w:val="Nadruk"/>
          <w:rFonts w:cs="Times New Roman"/>
        </w:rPr>
        <w:t>Customary International Humanitarian Law</w:t>
      </w:r>
      <w:r w:rsidRPr="001F0FF2">
        <w:rPr>
          <w:rFonts w:cs="Times New Roman"/>
        </w:rPr>
        <w:t xml:space="preserve"> (Cambridge University Press 2005) 155-156.</w:t>
      </w:r>
    </w:p>
  </w:footnote>
  <w:footnote w:id="165">
    <w:p w14:paraId="1BE67DBB" w14:textId="0F256BB6" w:rsidR="00927D51" w:rsidRPr="001F0FF2" w:rsidRDefault="00927D5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 506.</w:t>
      </w:r>
    </w:p>
  </w:footnote>
  <w:footnote w:id="166">
    <w:p w14:paraId="424564BE" w14:textId="6BB063AF" w:rsidR="00927D51" w:rsidRPr="001F0FF2" w:rsidRDefault="00927D5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International Criminal Court, </w:t>
      </w:r>
      <w:r w:rsidRPr="001F0FF2">
        <w:rPr>
          <w:rStyle w:val="Nadruk"/>
          <w:rFonts w:cs="Times New Roman"/>
        </w:rPr>
        <w:t>Elements of Crimes</w:t>
      </w:r>
      <w:r w:rsidRPr="001F0FF2">
        <w:rPr>
          <w:rFonts w:cs="Times New Roman"/>
        </w:rPr>
        <w:t xml:space="preserve"> (ICC-ASP/1/3, 2002) art 6(c); </w:t>
      </w:r>
      <w:r w:rsidRPr="001F0FF2">
        <w:rPr>
          <w:rStyle w:val="Nadruk"/>
          <w:rFonts w:cs="Times New Roman"/>
        </w:rPr>
        <w:t>Armed Activities on the Territory of the Congo (Democratic Republic of the Congo v Uganda)</w:t>
      </w:r>
      <w:r w:rsidRPr="001F0FF2">
        <w:rPr>
          <w:rFonts w:cs="Times New Roman"/>
        </w:rPr>
        <w:t xml:space="preserve"> (Judgment) [2005] ICJ Rep 168, para 244; </w:t>
      </w:r>
      <w:r w:rsidRPr="001F0FF2">
        <w:rPr>
          <w:rStyle w:val="Nadruk"/>
          <w:rFonts w:cs="Times New Roman"/>
        </w:rPr>
        <w:t>Prosecutor v Akayesu</w:t>
      </w:r>
      <w:r w:rsidRPr="001F0FF2">
        <w:rPr>
          <w:rFonts w:cs="Times New Roman"/>
        </w:rPr>
        <w:t xml:space="preserve"> (Judgment) ICTR-96-4-T (2 September 1998) para 505-506.</w:t>
      </w:r>
    </w:p>
  </w:footnote>
  <w:footnote w:id="167">
    <w:p w14:paraId="3D5BEC3D" w14:textId="5875FF4F" w:rsidR="00927D51" w:rsidRPr="001F0FF2" w:rsidRDefault="00927D5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(Second Decision on the Prosecution’s Application for a Warrant of Arrest) ICC-02/05-01/09 (12 July 2010) paras 124-126.</w:t>
      </w:r>
    </w:p>
  </w:footnote>
  <w:footnote w:id="168">
    <w:p w14:paraId="49B6A008" w14:textId="6C01723B" w:rsidR="00E61636" w:rsidRPr="001F0FF2" w:rsidRDefault="00E6163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William A Schabas, </w:t>
      </w:r>
      <w:r w:rsidRPr="001F0FF2">
        <w:rPr>
          <w:rStyle w:val="Nadruk"/>
          <w:rFonts w:cs="Times New Roman"/>
        </w:rPr>
        <w:t>Genocide in International Law: The Crime of Crimes</w:t>
      </w:r>
      <w:r w:rsidRPr="001F0FF2">
        <w:rPr>
          <w:rFonts w:cs="Times New Roman"/>
        </w:rPr>
        <w:t xml:space="preserve"> (2nd edn, CUP 2009) 191-193.</w:t>
      </w:r>
    </w:p>
  </w:footnote>
  <w:footnote w:id="169">
    <w:p w14:paraId="7F14DB08" w14:textId="00CB2A10" w:rsidR="00927D51" w:rsidRPr="001F0FF2" w:rsidRDefault="00927D51"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Pr="001F0FF2">
        <w:rPr>
          <w:rFonts w:cs="Times New Roman"/>
          <w:i/>
          <w:iCs/>
        </w:rPr>
        <w:t>Prosecutor v Krstić</w:t>
      </w:r>
      <w:r w:rsidRPr="001F0FF2">
        <w:rPr>
          <w:rFonts w:cs="Times New Roman"/>
        </w:rPr>
        <w:t xml:space="preserve"> (Judgment) IT-98-33-T, ICTY (2 August 2001) paras 580-590; </w:t>
      </w:r>
      <w:r w:rsidRPr="001F0FF2">
        <w:rPr>
          <w:rFonts w:cs="Times New Roman"/>
          <w:i/>
          <w:iCs/>
        </w:rPr>
        <w:t>Croatia v Serbia</w:t>
      </w:r>
      <w:r w:rsidRPr="001F0FF2">
        <w:rPr>
          <w:rFonts w:cs="Times New Roman"/>
        </w:rPr>
        <w:t xml:space="preserve"> (Judgment) [2015] ICJ Rep 3, paras 161-163; </w:t>
      </w:r>
      <w:r w:rsidRPr="001F0FF2">
        <w:rPr>
          <w:rFonts w:cs="Times New Roman"/>
          <w:i/>
          <w:iCs/>
        </w:rPr>
        <w:t>Bosnia and Herzegovina v Serbia and Montenegro</w:t>
      </w:r>
      <w:r w:rsidRPr="001F0FF2">
        <w:rPr>
          <w:rFonts w:cs="Times New Roman"/>
        </w:rPr>
        <w:t xml:space="preserve"> (Judgment) [2007] ICJ Rep 43, para 190.</w:t>
      </w:r>
    </w:p>
  </w:footnote>
  <w:footnote w:id="170">
    <w:p w14:paraId="65A7796F" w14:textId="4D0042E2" w:rsidR="00E61636" w:rsidRPr="001F0FF2" w:rsidRDefault="00E6163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proofErr w:type="spellStart"/>
      <w:r w:rsidRPr="001F0FF2">
        <w:rPr>
          <w:rFonts w:cs="Times New Roman"/>
          <w:i/>
          <w:iCs/>
          <w:lang w:val="fr-BE"/>
        </w:rPr>
        <w:t>Prosecutor</w:t>
      </w:r>
      <w:proofErr w:type="spellEnd"/>
      <w:r w:rsidRPr="001F0FF2">
        <w:rPr>
          <w:rFonts w:cs="Times New Roman"/>
          <w:i/>
          <w:iCs/>
          <w:lang w:val="fr-BE"/>
        </w:rPr>
        <w:t xml:space="preserve"> v Akayesu</w:t>
      </w:r>
      <w:r w:rsidRPr="001F0FF2">
        <w:rPr>
          <w:rFonts w:cs="Times New Roman"/>
          <w:lang w:val="fr-BE"/>
        </w:rPr>
        <w:t xml:space="preserve"> (</w:t>
      </w:r>
      <w:proofErr w:type="spellStart"/>
      <w:r w:rsidRPr="001F0FF2">
        <w:rPr>
          <w:rFonts w:cs="Times New Roman"/>
          <w:lang w:val="fr-BE"/>
        </w:rPr>
        <w:t>Judgment</w:t>
      </w:r>
      <w:proofErr w:type="spellEnd"/>
      <w:r w:rsidRPr="001F0FF2">
        <w:rPr>
          <w:rFonts w:cs="Times New Roman"/>
          <w:lang w:val="fr-BE"/>
        </w:rPr>
        <w:t xml:space="preserve">) ICTR-96-4-T (2 September 1998) para 506; Art 6(c)International Criminal Court, </w:t>
      </w:r>
      <w:proofErr w:type="spellStart"/>
      <w:r w:rsidRPr="001F0FF2">
        <w:rPr>
          <w:rFonts w:cs="Times New Roman"/>
          <w:i/>
          <w:iCs/>
          <w:lang w:val="fr-BE"/>
        </w:rPr>
        <w:t>Elements</w:t>
      </w:r>
      <w:proofErr w:type="spellEnd"/>
      <w:r w:rsidRPr="001F0FF2">
        <w:rPr>
          <w:rFonts w:cs="Times New Roman"/>
          <w:i/>
          <w:iCs/>
          <w:lang w:val="fr-BE"/>
        </w:rPr>
        <w:t xml:space="preserve"> of Crimes</w:t>
      </w:r>
      <w:r w:rsidRPr="001F0FF2">
        <w:rPr>
          <w:rFonts w:cs="Times New Roman"/>
          <w:lang w:val="fr-BE"/>
        </w:rPr>
        <w:t xml:space="preserve"> (ICC-ASP/1/3, 2002); </w:t>
      </w:r>
      <w:r w:rsidRPr="001F0FF2">
        <w:rPr>
          <w:rStyle w:val="Nadruk"/>
          <w:rFonts w:cs="Times New Roman"/>
        </w:rPr>
        <w:t>Prosecutor v Al Bashir</w:t>
      </w:r>
      <w:r w:rsidRPr="001F0FF2">
        <w:rPr>
          <w:rFonts w:cs="Times New Roman"/>
        </w:rPr>
        <w:t xml:space="preserve"> (Second Decision on the Prosecution’s Application for a Warrant of Arrest) ICC-02/05-01/09 (12 July 2010) paras 124-126.</w:t>
      </w:r>
    </w:p>
  </w:footnote>
  <w:footnote w:id="171">
    <w:p w14:paraId="470757B8" w14:textId="3C899C4E" w:rsidR="00EF08D6" w:rsidRPr="001F0FF2" w:rsidRDefault="00EF08D6"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(Bosnia and Herzegovina v Serbia and Montenegro)</w:t>
      </w:r>
      <w:r w:rsidRPr="001F0FF2">
        <w:rPr>
          <w:rFonts w:cs="Times New Roman"/>
        </w:rPr>
        <w:t xml:space="preserve"> [2007] ICJ Rep 43, paras 186-188.</w:t>
      </w:r>
    </w:p>
  </w:footnote>
  <w:footnote w:id="172">
    <w:p w14:paraId="0FAF7E90" w14:textId="519F5A2F" w:rsidR="006D39F9" w:rsidRPr="001F0FF2" w:rsidRDefault="006D39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Kai Ambos, </w:t>
      </w:r>
      <w:r w:rsidRPr="001F0FF2">
        <w:rPr>
          <w:rStyle w:val="Nadruk"/>
          <w:rFonts w:cs="Times New Roman"/>
        </w:rPr>
        <w:t>Treatise on International Criminal Law: Volume II: The Crimes and Sentencing</w:t>
      </w:r>
      <w:r w:rsidRPr="001F0FF2">
        <w:rPr>
          <w:rFonts w:cs="Times New Roman"/>
        </w:rPr>
        <w:t xml:space="preserve"> (Oxford University Press 2022), 6-8.</w:t>
      </w:r>
    </w:p>
  </w:footnote>
  <w:footnote w:id="173">
    <w:p w14:paraId="49377CAE" w14:textId="432EADFE" w:rsidR="006D39F9" w:rsidRPr="001F0FF2" w:rsidRDefault="006D39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FE65AC">
        <w:t>Convention on the Prevention and Punishment of the Crime of Genocide (adopted 9 December 1948, entered into force 12 January 1951) 78 UNTS 277 art II.</w:t>
      </w:r>
    </w:p>
  </w:footnote>
  <w:footnote w:id="174">
    <w:p w14:paraId="0B937FC0" w14:textId="709674A4" w:rsidR="006D39F9" w:rsidRPr="001F0FF2" w:rsidRDefault="006D39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rPr>
        <w:t>Prosecutor v Stakić</w:t>
      </w:r>
      <w:r w:rsidRPr="001F0FF2">
        <w:rPr>
          <w:rFonts w:cs="Times New Roman"/>
        </w:rPr>
        <w:t xml:space="preserve"> (Judgment) IT-97-24-T (ICTY Trial Chamber, 31 July 2003) paras 517-519; Claus Kreß, ‘The Crime of Genocide under International Law’ (2006) 6 </w:t>
      </w:r>
      <w:r w:rsidRPr="001F0FF2">
        <w:rPr>
          <w:rStyle w:val="Nadruk"/>
          <w:rFonts w:cs="Times New Roman"/>
        </w:rPr>
        <w:t>International Criminal Law Review</w:t>
      </w:r>
      <w:r w:rsidRPr="001F0FF2">
        <w:rPr>
          <w:rFonts w:cs="Times New Roman"/>
        </w:rPr>
        <w:t>, 482.</w:t>
      </w:r>
    </w:p>
  </w:footnote>
  <w:footnote w:id="175">
    <w:p w14:paraId="23D3648A" w14:textId="2ED564ED" w:rsidR="006D39F9" w:rsidRPr="001F0FF2" w:rsidRDefault="006D39F9"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paras 511; </w:t>
      </w:r>
      <w:r w:rsidRPr="001F0FF2">
        <w:rPr>
          <w:rStyle w:val="Nadruk"/>
          <w:rFonts w:cs="Times New Roman"/>
        </w:rPr>
        <w:t>Prosecutor v Krstić</w:t>
      </w:r>
      <w:r w:rsidRPr="001F0FF2">
        <w:rPr>
          <w:rFonts w:cs="Times New Roman"/>
        </w:rPr>
        <w:t xml:space="preserve"> (Judgment) IT-98-33-T, ICTY (2 August 2001) para 561; </w:t>
      </w:r>
      <w:r w:rsidR="00E12F17" w:rsidRPr="001F0FF2">
        <w:rPr>
          <w:rStyle w:val="Nadruk"/>
          <w:rFonts w:cs="Times New Roman"/>
        </w:rPr>
        <w:t>Prosecutor v Karadžić</w:t>
      </w:r>
      <w:r w:rsidR="00E12F17" w:rsidRPr="001F0FF2">
        <w:rPr>
          <w:rFonts w:cs="Times New Roman"/>
        </w:rPr>
        <w:t xml:space="preserve"> (Judgment) IT-95-5/18-T, ICTY (24 March 2016) para 541; </w:t>
      </w:r>
      <w:r w:rsidR="00E12F17" w:rsidRPr="001F0FF2">
        <w:rPr>
          <w:rStyle w:val="Nadruk"/>
          <w:rFonts w:cs="Times New Roman"/>
        </w:rPr>
        <w:t>Prosecutor v Mladić</w:t>
      </w:r>
      <w:r w:rsidR="00E12F17" w:rsidRPr="001F0FF2">
        <w:rPr>
          <w:rFonts w:cs="Times New Roman"/>
        </w:rPr>
        <w:t xml:space="preserve"> (Judgment) IT-09-92-T, ICTY (22 November 2017) para 3436; Kai Ambos, </w:t>
      </w:r>
      <w:r w:rsidR="00E12F17" w:rsidRPr="001F0FF2">
        <w:rPr>
          <w:rStyle w:val="Nadruk"/>
          <w:rFonts w:cs="Times New Roman"/>
        </w:rPr>
        <w:t>Treatise on International Criminal Law: Volume II: The Crimes and Sentencing</w:t>
      </w:r>
      <w:r w:rsidR="00E12F17" w:rsidRPr="001F0FF2">
        <w:rPr>
          <w:rFonts w:cs="Times New Roman"/>
        </w:rPr>
        <w:t xml:space="preserve"> (Oxford University Press 2022), 5.</w:t>
      </w:r>
    </w:p>
  </w:footnote>
  <w:footnote w:id="176">
    <w:p w14:paraId="685EE0F0" w14:textId="10D84B91" w:rsidR="00E12F17" w:rsidRPr="001F0FF2" w:rsidRDefault="00E12F1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Al Bashir</w:t>
      </w:r>
      <w:r w:rsidRPr="001F0FF2">
        <w:rPr>
          <w:rFonts w:cs="Times New Roman"/>
        </w:rPr>
        <w:t xml:space="preserve"> (Second Decision on the Prosecution’s Application for a Warrant of Arrest) ICC-02/05-01/09 (12 July 2010) paras 124-126.</w:t>
      </w:r>
    </w:p>
  </w:footnote>
  <w:footnote w:id="177">
    <w:p w14:paraId="6020BDA8" w14:textId="0698B08F" w:rsidR="00E12F17" w:rsidRPr="001F0FF2" w:rsidRDefault="00E12F1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Kai Ambos, </w:t>
      </w:r>
      <w:r w:rsidRPr="001F0FF2">
        <w:rPr>
          <w:rStyle w:val="Nadruk"/>
          <w:rFonts w:cs="Times New Roman"/>
        </w:rPr>
        <w:t>Treatise on International Criminal Law: Volume II: The Crimes and Sentencing</w:t>
      </w:r>
      <w:r w:rsidRPr="001F0FF2">
        <w:rPr>
          <w:rFonts w:cs="Times New Roman"/>
        </w:rPr>
        <w:t xml:space="preserve"> (Oxford University Press 2022), 37-45.</w:t>
      </w:r>
    </w:p>
  </w:footnote>
  <w:footnote w:id="178">
    <w:p w14:paraId="29B82739" w14:textId="2A558F83" w:rsidR="00C869F1" w:rsidRPr="001F0FF2" w:rsidRDefault="00C869F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FE65AC">
        <w:t>Convention on the Prevention and Punishment of the Crime of Genocide (adopted 9 December 1948, entered into force 12 January 1951) 78 UNTS 277 art II.</w:t>
      </w:r>
    </w:p>
  </w:footnote>
  <w:footnote w:id="179">
    <w:p w14:paraId="7FFA9046" w14:textId="40DDAAC7" w:rsidR="00C869F1" w:rsidRPr="001F0FF2" w:rsidRDefault="00C869F1"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 498; </w:t>
      </w:r>
      <w:r w:rsidRPr="001F0FF2">
        <w:rPr>
          <w:rStyle w:val="Nadruk"/>
          <w:rFonts w:cs="Times New Roman"/>
        </w:rPr>
        <w:t>Prosecutor v Jelisić</w:t>
      </w:r>
      <w:r w:rsidRPr="001F0FF2">
        <w:rPr>
          <w:rFonts w:cs="Times New Roman"/>
        </w:rPr>
        <w:t xml:space="preserve"> (Judgment) IT-95-10-T, ICTY (14 December 1999) para 105; </w:t>
      </w:r>
      <w:r w:rsidRPr="001F0FF2">
        <w:rPr>
          <w:rStyle w:val="Nadruk"/>
          <w:rFonts w:cs="Times New Roman"/>
        </w:rPr>
        <w:t>Bosnia and Herzegovina v Serbia and Montenegro</w:t>
      </w:r>
      <w:r w:rsidRPr="001F0FF2">
        <w:rPr>
          <w:rFonts w:cs="Times New Roman"/>
        </w:rPr>
        <w:t xml:space="preserve"> (Judgment) [2007] ICJ Rep 43, para 373; ; </w:t>
      </w:r>
      <w:r w:rsidRPr="001F0FF2">
        <w:rPr>
          <w:rStyle w:val="Nadruk"/>
          <w:rFonts w:cs="Times New Roman"/>
        </w:rPr>
        <w:t>Prosecutor v Krstić</w:t>
      </w:r>
      <w:r w:rsidRPr="001F0FF2">
        <w:rPr>
          <w:rFonts w:cs="Times New Roman"/>
        </w:rPr>
        <w:t xml:space="preserve"> (Judgment) IT-98-33-T, ICTY (2 August 2001) para 591.</w:t>
      </w:r>
    </w:p>
  </w:footnote>
  <w:footnote w:id="180">
    <w:p w14:paraId="4F08BC96" w14:textId="4BB0E644" w:rsidR="007B3A2E" w:rsidRPr="001F0FF2" w:rsidRDefault="007B3A2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P</w:t>
      </w:r>
      <w:r w:rsidRPr="001F0FF2">
        <w:rPr>
          <w:rStyle w:val="Nadruk"/>
          <w:rFonts w:cs="Times New Roman"/>
        </w:rPr>
        <w:t>rosecutor v Jelisić</w:t>
      </w:r>
      <w:r w:rsidRPr="001F0FF2">
        <w:rPr>
          <w:rFonts w:cs="Times New Roman"/>
        </w:rPr>
        <w:t xml:space="preserve"> (Judgment) IT-95-10-T, ICTY (14 December 1999) para 33</w:t>
      </w:r>
      <w:r w:rsidR="0098343E" w:rsidRPr="001F0FF2">
        <w:rPr>
          <w:rFonts w:cs="Times New Roman"/>
        </w:rPr>
        <w:t xml:space="preserve">; </w:t>
      </w:r>
      <w:r w:rsidR="0098343E" w:rsidRPr="001F0FF2">
        <w:rPr>
          <w:rStyle w:val="Nadruk"/>
          <w:rFonts w:cs="Times New Roman"/>
        </w:rPr>
        <w:t>Bosnia and Herzegovina v Serbia and Montenegro</w:t>
      </w:r>
      <w:r w:rsidR="0098343E" w:rsidRPr="001F0FF2">
        <w:rPr>
          <w:rFonts w:cs="Times New Roman"/>
        </w:rPr>
        <w:t xml:space="preserve"> (Judgment) [2007] ICJ Rep 43, para 373.</w:t>
      </w:r>
    </w:p>
  </w:footnote>
  <w:footnote w:id="181">
    <w:p w14:paraId="7F844B56" w14:textId="6F527958" w:rsidR="007B3A2E" w:rsidRPr="001F0FF2" w:rsidRDefault="007B3A2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P</w:t>
      </w:r>
      <w:r w:rsidRPr="001F0FF2">
        <w:rPr>
          <w:rStyle w:val="Nadruk"/>
          <w:rFonts w:cs="Times New Roman"/>
        </w:rPr>
        <w:t>rosecutor v Jelisić</w:t>
      </w:r>
      <w:r w:rsidRPr="001F0FF2">
        <w:rPr>
          <w:rFonts w:cs="Times New Roman"/>
        </w:rPr>
        <w:t xml:space="preserve"> (Judgment) IT-95-10-T, ICTY (14 December 1999) para 33.</w:t>
      </w:r>
    </w:p>
  </w:footnote>
  <w:footnote w:id="182">
    <w:p w14:paraId="58D409F1" w14:textId="73AC37E0" w:rsidR="00CF3700" w:rsidRPr="001F0FF2" w:rsidRDefault="00CF3700"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rPr>
        <w:t xml:space="preserve">Polly Higgins, Damien Short and Nigel South, ‘Protecting the Planet: A Proposal for a Law of Ecocide’ (2013) 59 </w:t>
      </w:r>
      <w:r w:rsidRPr="001F0FF2">
        <w:rPr>
          <w:rStyle w:val="Nadruk"/>
          <w:rFonts w:cs="Times New Roman"/>
        </w:rPr>
        <w:t>Crime, Law and Social Change</w:t>
      </w:r>
      <w:r w:rsidRPr="001F0FF2">
        <w:rPr>
          <w:rFonts w:cs="Times New Roman"/>
        </w:rPr>
        <w:t xml:space="preserve"> 251, 257-259; </w:t>
      </w:r>
      <w:r w:rsidR="000957D0" w:rsidRPr="001F0FF2">
        <w:rPr>
          <w:rFonts w:cs="Times New Roman"/>
        </w:rPr>
        <w:t xml:space="preserve">Alexandra Bernard, ‘La reconnaissance progressive du crime d’écocide : Perspectives internationale, européenne et belge’ in </w:t>
      </w:r>
      <w:r w:rsidR="000957D0" w:rsidRPr="001F0FF2">
        <w:rPr>
          <w:rStyle w:val="Nadruk"/>
          <w:rFonts w:cs="Times New Roman"/>
        </w:rPr>
        <w:t>La délinquance urbanistique et environnementale en Région de Bruxelles-Capitale et en Région wallonne</w:t>
      </w:r>
      <w:r w:rsidR="000957D0" w:rsidRPr="001F0FF2">
        <w:rPr>
          <w:rFonts w:cs="Times New Roman"/>
        </w:rPr>
        <w:t xml:space="preserve"> (Larcier 2023), </w:t>
      </w:r>
      <w:r w:rsidR="00C57DF3" w:rsidRPr="001F0FF2">
        <w:rPr>
          <w:rFonts w:cs="Times New Roman"/>
        </w:rPr>
        <w:t>579-580</w:t>
      </w:r>
      <w:r w:rsidR="00826E54">
        <w:rPr>
          <w:rFonts w:cs="Times New Roman"/>
        </w:rPr>
        <w:t>.</w:t>
      </w:r>
    </w:p>
  </w:footnote>
  <w:footnote w:id="183">
    <w:p w14:paraId="36850FC5" w14:textId="2CFD1662" w:rsidR="00C57DF3" w:rsidRPr="001F0FF2" w:rsidRDefault="00C57DF3" w:rsidP="00C06674">
      <w:pPr>
        <w:pStyle w:val="Voetnoottekst"/>
        <w:jc w:val="both"/>
        <w:rPr>
          <w:rFonts w:cs="Times New Roman"/>
        </w:rPr>
      </w:pPr>
      <w:r w:rsidRPr="001F0FF2">
        <w:rPr>
          <w:rStyle w:val="Voetnootmarkering"/>
          <w:rFonts w:cs="Times New Roman"/>
        </w:rPr>
        <w:footnoteRef/>
      </w:r>
      <w:r w:rsidRPr="001F0FF2">
        <w:rPr>
          <w:rFonts w:cs="Times New Roman"/>
        </w:rPr>
        <w:t xml:space="preserve"> </w:t>
      </w:r>
      <w:r w:rsidRPr="001F0FF2">
        <w:rPr>
          <w:rFonts w:cs="Times New Roman"/>
        </w:rPr>
        <w:t xml:space="preserve">Independent Expert Panel for the Legal Definition of Ecocide, ‘Commentary and Core Text’ (Stop Ecocide Foundation 2021) 5-7; Philippe Sands and Florence Mumba, ‘Principles of the Proposed Crime of Ecocide’ (2021) 30 </w:t>
      </w:r>
      <w:r w:rsidRPr="001F0FF2">
        <w:rPr>
          <w:rFonts w:cs="Times New Roman"/>
          <w:i/>
          <w:iCs/>
        </w:rPr>
        <w:t>Review of European, Comparative &amp; International Environmental Law</w:t>
      </w:r>
      <w:r w:rsidRPr="001F0FF2">
        <w:rPr>
          <w:rFonts w:cs="Times New Roman"/>
        </w:rPr>
        <w:t xml:space="preserve"> 191, 192</w:t>
      </w:r>
      <w:r w:rsidR="000D4242" w:rsidRPr="001F0FF2">
        <w:rPr>
          <w:rFonts w:cs="Times New Roman"/>
        </w:rPr>
        <w:t>-</w:t>
      </w:r>
      <w:r w:rsidRPr="001F0FF2">
        <w:rPr>
          <w:rFonts w:cs="Times New Roman"/>
        </w:rPr>
        <w:t>194.</w:t>
      </w:r>
    </w:p>
  </w:footnote>
  <w:footnote w:id="184">
    <w:p w14:paraId="3F688291" w14:textId="7E5ACD90" w:rsidR="00C45912" w:rsidRPr="001F0FF2" w:rsidRDefault="00C4591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fr-BE"/>
        </w:rPr>
        <w:t>Damien Short, ‘Re-</w:t>
      </w:r>
      <w:proofErr w:type="spellStart"/>
      <w:r w:rsidRPr="001F0FF2">
        <w:rPr>
          <w:rFonts w:cs="Times New Roman"/>
          <w:lang w:val="fr-BE"/>
        </w:rPr>
        <w:t>theorising</w:t>
      </w:r>
      <w:proofErr w:type="spellEnd"/>
      <w:r w:rsidRPr="001F0FF2">
        <w:rPr>
          <w:rFonts w:cs="Times New Roman"/>
          <w:lang w:val="fr-BE"/>
        </w:rPr>
        <w:t xml:space="preserve"> the </w:t>
      </w:r>
      <w:proofErr w:type="spellStart"/>
      <w:r w:rsidRPr="001F0FF2">
        <w:rPr>
          <w:rFonts w:cs="Times New Roman"/>
          <w:lang w:val="fr-BE"/>
        </w:rPr>
        <w:t>Genocide</w:t>
      </w:r>
      <w:proofErr w:type="spellEnd"/>
      <w:r w:rsidRPr="001F0FF2">
        <w:rPr>
          <w:rFonts w:cs="Times New Roman"/>
          <w:lang w:val="fr-BE"/>
        </w:rPr>
        <w:t>–</w:t>
      </w:r>
      <w:proofErr w:type="spellStart"/>
      <w:r w:rsidRPr="001F0FF2">
        <w:rPr>
          <w:rFonts w:cs="Times New Roman"/>
          <w:lang w:val="fr-BE"/>
        </w:rPr>
        <w:t>Ecocide</w:t>
      </w:r>
      <w:proofErr w:type="spellEnd"/>
      <w:r w:rsidRPr="001F0FF2">
        <w:rPr>
          <w:rFonts w:cs="Times New Roman"/>
          <w:lang w:val="fr-BE"/>
        </w:rPr>
        <w:t xml:space="preserve"> Nexus: Raphael Lemkin and </w:t>
      </w:r>
      <w:proofErr w:type="spellStart"/>
      <w:r w:rsidRPr="001F0FF2">
        <w:rPr>
          <w:rFonts w:cs="Times New Roman"/>
          <w:lang w:val="fr-BE"/>
        </w:rPr>
        <w:t>Ecocide</w:t>
      </w:r>
      <w:proofErr w:type="spellEnd"/>
      <w:r w:rsidRPr="001F0FF2">
        <w:rPr>
          <w:rFonts w:cs="Times New Roman"/>
          <w:lang w:val="fr-BE"/>
        </w:rPr>
        <w:t xml:space="preserve"> in the Amazon’ (2016) 20 </w:t>
      </w:r>
      <w:r w:rsidRPr="001F0FF2">
        <w:rPr>
          <w:rFonts w:cs="Times New Roman"/>
          <w:i/>
          <w:iCs/>
          <w:lang w:val="fr-BE"/>
        </w:rPr>
        <w:t xml:space="preserve">The International Journal of Human </w:t>
      </w:r>
      <w:proofErr w:type="spellStart"/>
      <w:r w:rsidRPr="001F0FF2">
        <w:rPr>
          <w:rFonts w:cs="Times New Roman"/>
          <w:i/>
          <w:iCs/>
          <w:lang w:val="fr-BE"/>
        </w:rPr>
        <w:t>Rights</w:t>
      </w:r>
      <w:proofErr w:type="spellEnd"/>
      <w:r w:rsidRPr="001F0FF2">
        <w:rPr>
          <w:rFonts w:cs="Times New Roman"/>
          <w:lang w:val="fr-BE"/>
        </w:rPr>
        <w:t xml:space="preserve"> 1005</w:t>
      </w:r>
      <w:r w:rsidR="000D4242" w:rsidRPr="001F0FF2">
        <w:rPr>
          <w:rFonts w:cs="Times New Roman"/>
          <w:lang w:val="fr-BE"/>
        </w:rPr>
        <w:t xml:space="preserve">; </w:t>
      </w:r>
      <w:r w:rsidR="000D4242" w:rsidRPr="001F0FF2">
        <w:rPr>
          <w:rFonts w:cs="Times New Roman"/>
        </w:rPr>
        <w:t xml:space="preserve">David Zierler, </w:t>
      </w:r>
      <w:r w:rsidR="000D4242" w:rsidRPr="001F0FF2">
        <w:rPr>
          <w:rStyle w:val="Nadruk"/>
          <w:rFonts w:cs="Times New Roman"/>
        </w:rPr>
        <w:t>The Invention of Ecocide: Agent Orange, Vietnam, and the Scientists Who Changed the Way We Think About the Environment</w:t>
      </w:r>
      <w:r w:rsidR="000D4242" w:rsidRPr="001F0FF2">
        <w:rPr>
          <w:rFonts w:cs="Times New Roman"/>
        </w:rPr>
        <w:t xml:space="preserve"> (University of Georgia Press 2011) 14.</w:t>
      </w:r>
    </w:p>
  </w:footnote>
  <w:footnote w:id="185">
    <w:p w14:paraId="02D35537" w14:textId="3D3B422F" w:rsidR="000B7537" w:rsidRPr="001F0FF2" w:rsidRDefault="000B753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lang w:val="fr-BE"/>
        </w:rPr>
        <w:t>Damien Short, ‘Re-</w:t>
      </w:r>
      <w:proofErr w:type="spellStart"/>
      <w:r w:rsidRPr="001F0FF2">
        <w:rPr>
          <w:rFonts w:cs="Times New Roman"/>
          <w:lang w:val="fr-BE"/>
        </w:rPr>
        <w:t>theorising</w:t>
      </w:r>
      <w:proofErr w:type="spellEnd"/>
      <w:r w:rsidRPr="001F0FF2">
        <w:rPr>
          <w:rFonts w:cs="Times New Roman"/>
          <w:lang w:val="fr-BE"/>
        </w:rPr>
        <w:t xml:space="preserve"> the </w:t>
      </w:r>
      <w:proofErr w:type="spellStart"/>
      <w:r w:rsidRPr="001F0FF2">
        <w:rPr>
          <w:rFonts w:cs="Times New Roman"/>
          <w:lang w:val="fr-BE"/>
        </w:rPr>
        <w:t>Genocide</w:t>
      </w:r>
      <w:proofErr w:type="spellEnd"/>
      <w:r w:rsidRPr="001F0FF2">
        <w:rPr>
          <w:rFonts w:cs="Times New Roman"/>
          <w:lang w:val="fr-BE"/>
        </w:rPr>
        <w:t>–</w:t>
      </w:r>
      <w:proofErr w:type="spellStart"/>
      <w:r w:rsidRPr="001F0FF2">
        <w:rPr>
          <w:rFonts w:cs="Times New Roman"/>
          <w:lang w:val="fr-BE"/>
        </w:rPr>
        <w:t>Ecocide</w:t>
      </w:r>
      <w:proofErr w:type="spellEnd"/>
      <w:r w:rsidRPr="001F0FF2">
        <w:rPr>
          <w:rFonts w:cs="Times New Roman"/>
          <w:lang w:val="fr-BE"/>
        </w:rPr>
        <w:t xml:space="preserve"> Nexus: Raphael Lemkin and </w:t>
      </w:r>
      <w:proofErr w:type="spellStart"/>
      <w:r w:rsidRPr="001F0FF2">
        <w:rPr>
          <w:rFonts w:cs="Times New Roman"/>
          <w:lang w:val="fr-BE"/>
        </w:rPr>
        <w:t>Ecocide</w:t>
      </w:r>
      <w:proofErr w:type="spellEnd"/>
      <w:r w:rsidRPr="001F0FF2">
        <w:rPr>
          <w:rFonts w:cs="Times New Roman"/>
          <w:lang w:val="fr-BE"/>
        </w:rPr>
        <w:t xml:space="preserve"> in the Amazon’ (2016) 20 </w:t>
      </w:r>
      <w:r w:rsidRPr="001F0FF2">
        <w:rPr>
          <w:rFonts w:cs="Times New Roman"/>
          <w:i/>
          <w:iCs/>
          <w:lang w:val="fr-BE"/>
        </w:rPr>
        <w:t xml:space="preserve">The International Journal of Human </w:t>
      </w:r>
      <w:proofErr w:type="spellStart"/>
      <w:r w:rsidRPr="001F0FF2">
        <w:rPr>
          <w:rFonts w:cs="Times New Roman"/>
          <w:i/>
          <w:iCs/>
          <w:lang w:val="fr-BE"/>
        </w:rPr>
        <w:t>Rights</w:t>
      </w:r>
      <w:proofErr w:type="spellEnd"/>
      <w:r w:rsidRPr="001F0FF2">
        <w:rPr>
          <w:rFonts w:cs="Times New Roman"/>
          <w:lang w:val="fr-BE"/>
        </w:rPr>
        <w:t xml:space="preserve"> 1005, 1008-1010; Lauren J Eichler, ‘</w:t>
      </w:r>
      <w:proofErr w:type="spellStart"/>
      <w:r w:rsidRPr="001F0FF2">
        <w:rPr>
          <w:rFonts w:cs="Times New Roman"/>
          <w:lang w:val="fr-BE"/>
        </w:rPr>
        <w:t>Ecocide</w:t>
      </w:r>
      <w:proofErr w:type="spellEnd"/>
      <w:r w:rsidRPr="001F0FF2">
        <w:rPr>
          <w:rFonts w:cs="Times New Roman"/>
          <w:lang w:val="fr-BE"/>
        </w:rPr>
        <w:t xml:space="preserve"> Is </w:t>
      </w:r>
      <w:proofErr w:type="spellStart"/>
      <w:r w:rsidRPr="001F0FF2">
        <w:rPr>
          <w:rFonts w:cs="Times New Roman"/>
          <w:lang w:val="fr-BE"/>
        </w:rPr>
        <w:t>Genocide</w:t>
      </w:r>
      <w:proofErr w:type="spellEnd"/>
      <w:r w:rsidRPr="001F0FF2">
        <w:rPr>
          <w:rFonts w:cs="Times New Roman"/>
          <w:lang w:val="fr-BE"/>
        </w:rPr>
        <w:t xml:space="preserve">: </w:t>
      </w:r>
      <w:proofErr w:type="spellStart"/>
      <w:r w:rsidRPr="001F0FF2">
        <w:rPr>
          <w:rFonts w:cs="Times New Roman"/>
          <w:lang w:val="fr-BE"/>
        </w:rPr>
        <w:t>Decolonizing</w:t>
      </w:r>
      <w:proofErr w:type="spellEnd"/>
      <w:r w:rsidRPr="001F0FF2">
        <w:rPr>
          <w:rFonts w:cs="Times New Roman"/>
          <w:lang w:val="fr-BE"/>
        </w:rPr>
        <w:t xml:space="preserve"> the </w:t>
      </w:r>
      <w:proofErr w:type="spellStart"/>
      <w:r w:rsidRPr="001F0FF2">
        <w:rPr>
          <w:rFonts w:cs="Times New Roman"/>
          <w:lang w:val="fr-BE"/>
        </w:rPr>
        <w:t>Definition</w:t>
      </w:r>
      <w:proofErr w:type="spellEnd"/>
      <w:r w:rsidRPr="001F0FF2">
        <w:rPr>
          <w:rFonts w:cs="Times New Roman"/>
          <w:lang w:val="fr-BE"/>
        </w:rPr>
        <w:t xml:space="preserve"> of </w:t>
      </w:r>
      <w:proofErr w:type="spellStart"/>
      <w:r w:rsidRPr="001F0FF2">
        <w:rPr>
          <w:rFonts w:cs="Times New Roman"/>
          <w:lang w:val="fr-BE"/>
        </w:rPr>
        <w:t>Genocide</w:t>
      </w:r>
      <w:proofErr w:type="spellEnd"/>
      <w:r w:rsidRPr="001F0FF2">
        <w:rPr>
          <w:rFonts w:cs="Times New Roman"/>
          <w:lang w:val="fr-BE"/>
        </w:rPr>
        <w:t xml:space="preserve">’ (2020) 14 </w:t>
      </w:r>
      <w:proofErr w:type="spellStart"/>
      <w:r w:rsidRPr="001F0FF2">
        <w:rPr>
          <w:rFonts w:cs="Times New Roman"/>
          <w:i/>
          <w:iCs/>
          <w:lang w:val="fr-BE"/>
        </w:rPr>
        <w:t>Genocide</w:t>
      </w:r>
      <w:proofErr w:type="spellEnd"/>
      <w:r w:rsidRPr="001F0FF2">
        <w:rPr>
          <w:rFonts w:cs="Times New Roman"/>
          <w:i/>
          <w:iCs/>
          <w:lang w:val="fr-BE"/>
        </w:rPr>
        <w:t xml:space="preserve"> </w:t>
      </w:r>
      <w:proofErr w:type="spellStart"/>
      <w:r w:rsidRPr="001F0FF2">
        <w:rPr>
          <w:rFonts w:cs="Times New Roman"/>
          <w:i/>
          <w:iCs/>
          <w:lang w:val="fr-BE"/>
        </w:rPr>
        <w:t>Studies</w:t>
      </w:r>
      <w:proofErr w:type="spellEnd"/>
      <w:r w:rsidRPr="001F0FF2">
        <w:rPr>
          <w:rFonts w:cs="Times New Roman"/>
          <w:i/>
          <w:iCs/>
          <w:lang w:val="fr-BE"/>
        </w:rPr>
        <w:t xml:space="preserve"> and Prevention</w:t>
      </w:r>
      <w:r w:rsidRPr="001F0FF2">
        <w:rPr>
          <w:rFonts w:cs="Times New Roman"/>
          <w:lang w:val="fr-BE"/>
        </w:rPr>
        <w:t xml:space="preserve"> 104, 108-110.</w:t>
      </w:r>
    </w:p>
  </w:footnote>
  <w:footnote w:id="186">
    <w:p w14:paraId="583E46E4" w14:textId="6C29A1D9" w:rsidR="00636C0F" w:rsidRPr="001F0FF2" w:rsidRDefault="00636C0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00545ED4" w:rsidRPr="001F0FF2">
        <w:rPr>
          <w:rFonts w:cs="Times New Roman"/>
        </w:rPr>
        <w:t xml:space="preserve">United Nations Environment Programme, </w:t>
      </w:r>
      <w:r w:rsidR="00545ED4" w:rsidRPr="001F0FF2">
        <w:rPr>
          <w:rStyle w:val="Nadruk"/>
          <w:rFonts w:cs="Times New Roman"/>
        </w:rPr>
        <w:t xml:space="preserve">Environmental Impact of the Conflict in Gaza: second assessment </w:t>
      </w:r>
      <w:r w:rsidR="00545ED4" w:rsidRPr="001F0FF2">
        <w:rPr>
          <w:rFonts w:cs="Times New Roman"/>
        </w:rPr>
        <w:t xml:space="preserve">(2025); </w:t>
      </w:r>
    </w:p>
  </w:footnote>
  <w:footnote w:id="187">
    <w:p w14:paraId="640A8A64" w14:textId="7F3D94B7" w:rsidR="001F4D43" w:rsidRPr="001F0FF2" w:rsidRDefault="001F4D43"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UNOCHA, “Humanitarian Situation Update #179 | Gaza Strip”, 14 June 2024, </w:t>
      </w:r>
      <w:r w:rsidR="00992354" w:rsidRPr="001F0FF2">
        <w:rPr>
          <w:rFonts w:cs="Times New Roman"/>
        </w:rPr>
        <w:t xml:space="preserve">https://www.unocha.org/publications/report/occupied-palestinian-territory/humanitarian-situationupdate-179-gaza-strip; </w:t>
      </w:r>
      <w:r w:rsidR="00992354" w:rsidRPr="001F0FF2">
        <w:rPr>
          <w:rStyle w:val="Nadruk"/>
          <w:rFonts w:cs="Times New Roman"/>
        </w:rPr>
        <w:t>Application of the Convention on the Prevention and Punishment of the Crime of Genocide in the Gaza Strip (South Africa v Israel)</w:t>
      </w:r>
      <w:r w:rsidR="00992354" w:rsidRPr="001F0FF2">
        <w:rPr>
          <w:rFonts w:cs="Times New Roman"/>
        </w:rPr>
        <w:t xml:space="preserve"> (Order on Provisional Measures) [2024] ICJ General List No 192, para 13.</w:t>
      </w:r>
    </w:p>
  </w:footnote>
  <w:footnote w:id="188">
    <w:p w14:paraId="47167F20" w14:textId="3CB990E1" w:rsidR="00992354" w:rsidRPr="001F0FF2" w:rsidRDefault="0099235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Prosecutor v Akayesu</w:t>
      </w:r>
      <w:r w:rsidRPr="001F0FF2">
        <w:rPr>
          <w:rFonts w:cs="Times New Roman"/>
        </w:rPr>
        <w:t xml:space="preserve"> (Judgment) ICTR-96-4-T (2 September 1998) paras 505-506; Art 6(c)International Criminal Court, </w:t>
      </w:r>
      <w:r w:rsidRPr="001F0FF2">
        <w:rPr>
          <w:rStyle w:val="Nadruk"/>
          <w:rFonts w:cs="Times New Roman"/>
        </w:rPr>
        <w:t>Elements of Crimes</w:t>
      </w:r>
      <w:r w:rsidRPr="001F0FF2">
        <w:rPr>
          <w:rFonts w:cs="Times New Roman"/>
        </w:rPr>
        <w:t xml:space="preserve"> (ICC-ASP/1/3, 2002).</w:t>
      </w:r>
    </w:p>
  </w:footnote>
  <w:footnote w:id="189">
    <w:p w14:paraId="0A73AAAA" w14:textId="42FEB41F" w:rsidR="00992354" w:rsidRPr="001F0FF2" w:rsidRDefault="00992354"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Croatia v Serbia</w:t>
      </w:r>
      <w:r w:rsidRPr="001F0FF2">
        <w:rPr>
          <w:rFonts w:cs="Times New Roman"/>
        </w:rPr>
        <w:t xml:space="preserve"> (Judgment) [2015] ICJ Rep 3, paras 132-139; </w:t>
      </w:r>
      <w:r w:rsidRPr="001F0FF2">
        <w:rPr>
          <w:rStyle w:val="Nadruk"/>
          <w:rFonts w:cs="Times New Roman"/>
        </w:rPr>
        <w:t>Prosecutor v Krstić</w:t>
      </w:r>
      <w:r w:rsidRPr="001F0FF2">
        <w:rPr>
          <w:rFonts w:cs="Times New Roman"/>
        </w:rPr>
        <w:t xml:space="preserve"> (Judgment) IT-98-33-T, ICTY (2 August 2001) para 580.</w:t>
      </w:r>
    </w:p>
  </w:footnote>
  <w:footnote w:id="190">
    <w:p w14:paraId="74000789" w14:textId="5DD2B12B" w:rsidR="00783172" w:rsidRPr="001F0FF2" w:rsidRDefault="0078317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World Health Organization, ‘Conflict in Israel and the occupied Palestinian territory’ (World Health Organization) https://www.who.int/emergencies/situations/conflict-in-Israel-and-oPt accessed 20 May 2026.</w:t>
      </w:r>
    </w:p>
  </w:footnote>
  <w:footnote w:id="191">
    <w:p w14:paraId="3840D1C7" w14:textId="3B3E67D8" w:rsidR="00783172" w:rsidRPr="001F0FF2" w:rsidRDefault="00783172"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Fonts w:cs="Times New Roman"/>
          <w:i/>
          <w:iCs/>
          <w:lang w:val="nl-NL"/>
        </w:rPr>
        <w:t>Ibid</w:t>
      </w:r>
      <w:r w:rsidRPr="001F0FF2">
        <w:rPr>
          <w:rFonts w:cs="Times New Roman"/>
          <w:lang w:val="nl-NL"/>
        </w:rPr>
        <w:t>.</w:t>
      </w:r>
    </w:p>
  </w:footnote>
  <w:footnote w:id="192">
    <w:p w14:paraId="71E24024" w14:textId="61DE30C5" w:rsidR="0006697F" w:rsidRPr="001F0FF2" w:rsidRDefault="0006697F"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in the Gaza Strip (South Africa v Israel)</w:t>
      </w:r>
      <w:r w:rsidRPr="001F0FF2">
        <w:rPr>
          <w:rFonts w:cs="Times New Roman"/>
        </w:rPr>
        <w:t xml:space="preserve"> (Order on Provisional Measures) [2024] ICJ General List No 192, para 37.</w:t>
      </w:r>
    </w:p>
  </w:footnote>
  <w:footnote w:id="193">
    <w:p w14:paraId="1D4FC393" w14:textId="35DF8FA8" w:rsidR="00DE789E" w:rsidRPr="001F0FF2" w:rsidRDefault="00DE789E"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Amnesty International, </w:t>
      </w:r>
      <w:r w:rsidRPr="001F0FF2">
        <w:rPr>
          <w:rStyle w:val="Nadruk"/>
          <w:rFonts w:cs="Times New Roman"/>
        </w:rPr>
        <w:t>‘“You Feel Like You Are Subhuman”: Israel’s Genocide Against Palestinians in Gaza’</w:t>
      </w:r>
      <w:r w:rsidRPr="001F0FF2">
        <w:rPr>
          <w:rFonts w:cs="Times New Roman"/>
        </w:rPr>
        <w:t xml:space="preserve"> (Amnesty International 2024) 31.</w:t>
      </w:r>
    </w:p>
  </w:footnote>
  <w:footnote w:id="194">
    <w:p w14:paraId="376C1903" w14:textId="7109F0AD" w:rsidR="00D066D7" w:rsidRPr="001F0FF2" w:rsidRDefault="00D066D7" w:rsidP="00C06674">
      <w:pPr>
        <w:pStyle w:val="Voetnoottekst"/>
        <w:jc w:val="both"/>
        <w:rPr>
          <w:rFonts w:cs="Times New Roman"/>
          <w:lang w:val="nl-NL"/>
        </w:rPr>
      </w:pPr>
      <w:r w:rsidRPr="001F0FF2">
        <w:rPr>
          <w:rStyle w:val="Voetnootmarkering"/>
          <w:rFonts w:cs="Times New Roman"/>
        </w:rPr>
        <w:footnoteRef/>
      </w:r>
      <w:r w:rsidRPr="001F0FF2">
        <w:rPr>
          <w:rFonts w:cs="Times New Roman"/>
        </w:rPr>
        <w:t xml:space="preserve"> </w:t>
      </w:r>
      <w:r w:rsidRPr="001F0FF2">
        <w:rPr>
          <w:rStyle w:val="Nadruk"/>
          <w:rFonts w:cs="Times New Roman"/>
        </w:rPr>
        <w:t>Application of the Convention on the Prevention and Punishment of the Crime of Genocide in the Gaza Strip (South Africa v Israel)</w:t>
      </w:r>
      <w:r w:rsidRPr="001F0FF2">
        <w:rPr>
          <w:rFonts w:cs="Times New Roman"/>
        </w:rPr>
        <w:t xml:space="preserve"> (Order on Provisional Measures) [2024] ICJ General List No 192, para 37 (Judge Sebutinde dissenting).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4756"/>
    <w:multiLevelType w:val="hybridMultilevel"/>
    <w:tmpl w:val="9718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9B27A0"/>
    <w:multiLevelType w:val="multilevel"/>
    <w:tmpl w:val="E084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62861"/>
    <w:multiLevelType w:val="multilevel"/>
    <w:tmpl w:val="77045D62"/>
    <w:lvl w:ilvl="0">
      <w:start w:val="4"/>
      <w:numFmt w:val="decimal"/>
      <w:lvlText w:val="%1."/>
      <w:lvlJc w:val="left"/>
      <w:pPr>
        <w:ind w:left="360" w:hanging="360"/>
      </w:pPr>
      <w:rPr>
        <w:rFonts w:hint="default"/>
      </w:rPr>
    </w:lvl>
    <w:lvl w:ilvl="1">
      <w:start w:val="1"/>
      <w:numFmt w:val="decimal"/>
      <w:lvlText w:val="%1.%2."/>
      <w:lvlJc w:val="left"/>
      <w:pPr>
        <w:ind w:left="383" w:hanging="36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3" w15:restartNumberingAfterBreak="0">
    <w:nsid w:val="19E17B59"/>
    <w:multiLevelType w:val="multilevel"/>
    <w:tmpl w:val="8EC4856A"/>
    <w:lvl w:ilvl="0">
      <w:start w:val="5"/>
      <w:numFmt w:val="decimal"/>
      <w:lvlText w:val="%1"/>
      <w:lvlJc w:val="left"/>
      <w:pPr>
        <w:ind w:left="443" w:hanging="420"/>
      </w:pPr>
      <w:rPr>
        <w:rFonts w:hint="default"/>
        <w:lang w:val="en-US" w:eastAsia="en-US" w:bidi="ar-SA"/>
      </w:rPr>
    </w:lvl>
    <w:lvl w:ilvl="1">
      <w:start w:val="1"/>
      <w:numFmt w:val="decimal"/>
      <w:lvlText w:val="%1.%2."/>
      <w:lvlJc w:val="left"/>
      <w:pPr>
        <w:ind w:left="443"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194" w:hanging="420"/>
      </w:pPr>
      <w:rPr>
        <w:rFonts w:hint="default"/>
        <w:lang w:val="en-US" w:eastAsia="en-US" w:bidi="ar-SA"/>
      </w:rPr>
    </w:lvl>
    <w:lvl w:ilvl="3">
      <w:numFmt w:val="bullet"/>
      <w:lvlText w:val="•"/>
      <w:lvlJc w:val="left"/>
      <w:pPr>
        <w:ind w:left="3071" w:hanging="420"/>
      </w:pPr>
      <w:rPr>
        <w:rFonts w:hint="default"/>
        <w:lang w:val="en-US" w:eastAsia="en-US" w:bidi="ar-SA"/>
      </w:rPr>
    </w:lvl>
    <w:lvl w:ilvl="4">
      <w:numFmt w:val="bullet"/>
      <w:lvlText w:val="•"/>
      <w:lvlJc w:val="left"/>
      <w:pPr>
        <w:ind w:left="3948" w:hanging="420"/>
      </w:pPr>
      <w:rPr>
        <w:rFonts w:hint="default"/>
        <w:lang w:val="en-US" w:eastAsia="en-US" w:bidi="ar-SA"/>
      </w:rPr>
    </w:lvl>
    <w:lvl w:ilvl="5">
      <w:numFmt w:val="bullet"/>
      <w:lvlText w:val="•"/>
      <w:lvlJc w:val="left"/>
      <w:pPr>
        <w:ind w:left="4826" w:hanging="420"/>
      </w:pPr>
      <w:rPr>
        <w:rFonts w:hint="default"/>
        <w:lang w:val="en-US" w:eastAsia="en-US" w:bidi="ar-SA"/>
      </w:rPr>
    </w:lvl>
    <w:lvl w:ilvl="6">
      <w:numFmt w:val="bullet"/>
      <w:lvlText w:val="•"/>
      <w:lvlJc w:val="left"/>
      <w:pPr>
        <w:ind w:left="5703" w:hanging="420"/>
      </w:pPr>
      <w:rPr>
        <w:rFonts w:hint="default"/>
        <w:lang w:val="en-US" w:eastAsia="en-US" w:bidi="ar-SA"/>
      </w:rPr>
    </w:lvl>
    <w:lvl w:ilvl="7">
      <w:numFmt w:val="bullet"/>
      <w:lvlText w:val="•"/>
      <w:lvlJc w:val="left"/>
      <w:pPr>
        <w:ind w:left="6580" w:hanging="420"/>
      </w:pPr>
      <w:rPr>
        <w:rFonts w:hint="default"/>
        <w:lang w:val="en-US" w:eastAsia="en-US" w:bidi="ar-SA"/>
      </w:rPr>
    </w:lvl>
    <w:lvl w:ilvl="8">
      <w:numFmt w:val="bullet"/>
      <w:lvlText w:val="•"/>
      <w:lvlJc w:val="left"/>
      <w:pPr>
        <w:ind w:left="7457" w:hanging="420"/>
      </w:pPr>
      <w:rPr>
        <w:rFonts w:hint="default"/>
        <w:lang w:val="en-US" w:eastAsia="en-US" w:bidi="ar-SA"/>
      </w:rPr>
    </w:lvl>
  </w:abstractNum>
  <w:abstractNum w:abstractNumId="4" w15:restartNumberingAfterBreak="0">
    <w:nsid w:val="208F37AB"/>
    <w:multiLevelType w:val="multilevel"/>
    <w:tmpl w:val="D03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D10A6"/>
    <w:multiLevelType w:val="hybridMultilevel"/>
    <w:tmpl w:val="A50A18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229A3807"/>
    <w:multiLevelType w:val="hybridMultilevel"/>
    <w:tmpl w:val="77EE517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41E11B8"/>
    <w:multiLevelType w:val="hybridMultilevel"/>
    <w:tmpl w:val="5AE8EF7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364E0DA5"/>
    <w:multiLevelType w:val="hybridMultilevel"/>
    <w:tmpl w:val="9A7AB7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A92C86"/>
    <w:multiLevelType w:val="multilevel"/>
    <w:tmpl w:val="B172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8C33E2"/>
    <w:multiLevelType w:val="multilevel"/>
    <w:tmpl w:val="429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C52562"/>
    <w:multiLevelType w:val="multilevel"/>
    <w:tmpl w:val="7302701E"/>
    <w:lvl w:ilvl="0">
      <w:start w:val="1"/>
      <w:numFmt w:val="decimal"/>
      <w:lvlText w:val="%1."/>
      <w:lvlJc w:val="left"/>
      <w:pPr>
        <w:ind w:left="720" w:hanging="360"/>
      </w:pPr>
      <w:rPr>
        <w:rFonts w:hint="default"/>
      </w:rPr>
    </w:lvl>
    <w:lvl w:ilvl="1">
      <w:start w:val="1"/>
      <w:numFmt w:val="decimal"/>
      <w:isLgl/>
      <w:lvlText w:val="%1.%2."/>
      <w:lvlJc w:val="left"/>
      <w:pPr>
        <w:ind w:left="920" w:hanging="5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3733431"/>
    <w:multiLevelType w:val="multilevel"/>
    <w:tmpl w:val="CD1A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C476C2"/>
    <w:multiLevelType w:val="multilevel"/>
    <w:tmpl w:val="7EE0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6B0A1D"/>
    <w:multiLevelType w:val="multilevel"/>
    <w:tmpl w:val="7AB2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A56E5"/>
    <w:multiLevelType w:val="multilevel"/>
    <w:tmpl w:val="9112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F5C02"/>
    <w:multiLevelType w:val="hybridMultilevel"/>
    <w:tmpl w:val="1B7829FE"/>
    <w:lvl w:ilvl="0" w:tplc="94C24C22">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67882A17"/>
    <w:multiLevelType w:val="multilevel"/>
    <w:tmpl w:val="FA06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7D4C1F"/>
    <w:multiLevelType w:val="multilevel"/>
    <w:tmpl w:val="E86A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862B2A"/>
    <w:multiLevelType w:val="multilevel"/>
    <w:tmpl w:val="6290B0BA"/>
    <w:lvl w:ilvl="0">
      <w:start w:val="4"/>
      <w:numFmt w:val="decimal"/>
      <w:lvlText w:val="%1"/>
      <w:lvlJc w:val="left"/>
      <w:pPr>
        <w:ind w:left="443" w:hanging="420"/>
      </w:pPr>
      <w:rPr>
        <w:rFonts w:hint="default"/>
        <w:lang w:val="en-US" w:eastAsia="en-US" w:bidi="ar-SA"/>
      </w:rPr>
    </w:lvl>
    <w:lvl w:ilvl="1">
      <w:start w:val="1"/>
      <w:numFmt w:val="decimal"/>
      <w:lvlText w:val="%1.%2."/>
      <w:lvlJc w:val="left"/>
      <w:pPr>
        <w:ind w:left="443"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863" w:hanging="60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716" w:hanging="600"/>
      </w:pPr>
      <w:rPr>
        <w:rFonts w:hint="default"/>
        <w:lang w:val="en-US" w:eastAsia="en-US" w:bidi="ar-SA"/>
      </w:rPr>
    </w:lvl>
    <w:lvl w:ilvl="4">
      <w:numFmt w:val="bullet"/>
      <w:lvlText w:val="•"/>
      <w:lvlJc w:val="left"/>
      <w:pPr>
        <w:ind w:left="3644" w:hanging="600"/>
      </w:pPr>
      <w:rPr>
        <w:rFonts w:hint="default"/>
        <w:lang w:val="en-US" w:eastAsia="en-US" w:bidi="ar-SA"/>
      </w:rPr>
    </w:lvl>
    <w:lvl w:ilvl="5">
      <w:numFmt w:val="bullet"/>
      <w:lvlText w:val="•"/>
      <w:lvlJc w:val="left"/>
      <w:pPr>
        <w:ind w:left="4572" w:hanging="600"/>
      </w:pPr>
      <w:rPr>
        <w:rFonts w:hint="default"/>
        <w:lang w:val="en-US" w:eastAsia="en-US" w:bidi="ar-SA"/>
      </w:rPr>
    </w:lvl>
    <w:lvl w:ilvl="6">
      <w:numFmt w:val="bullet"/>
      <w:lvlText w:val="•"/>
      <w:lvlJc w:val="left"/>
      <w:pPr>
        <w:ind w:left="5500" w:hanging="600"/>
      </w:pPr>
      <w:rPr>
        <w:rFonts w:hint="default"/>
        <w:lang w:val="en-US" w:eastAsia="en-US" w:bidi="ar-SA"/>
      </w:rPr>
    </w:lvl>
    <w:lvl w:ilvl="7">
      <w:numFmt w:val="bullet"/>
      <w:lvlText w:val="•"/>
      <w:lvlJc w:val="left"/>
      <w:pPr>
        <w:ind w:left="6428" w:hanging="600"/>
      </w:pPr>
      <w:rPr>
        <w:rFonts w:hint="default"/>
        <w:lang w:val="en-US" w:eastAsia="en-US" w:bidi="ar-SA"/>
      </w:rPr>
    </w:lvl>
    <w:lvl w:ilvl="8">
      <w:numFmt w:val="bullet"/>
      <w:lvlText w:val="•"/>
      <w:lvlJc w:val="left"/>
      <w:pPr>
        <w:ind w:left="7356" w:hanging="600"/>
      </w:pPr>
      <w:rPr>
        <w:rFonts w:hint="default"/>
        <w:lang w:val="en-US" w:eastAsia="en-US" w:bidi="ar-SA"/>
      </w:rPr>
    </w:lvl>
  </w:abstractNum>
  <w:num w:numId="1" w16cid:durableId="660428193">
    <w:abstractNumId w:val="8"/>
  </w:num>
  <w:num w:numId="2" w16cid:durableId="1438404067">
    <w:abstractNumId w:val="6"/>
  </w:num>
  <w:num w:numId="3" w16cid:durableId="160003174">
    <w:abstractNumId w:val="0"/>
  </w:num>
  <w:num w:numId="4" w16cid:durableId="1420639390">
    <w:abstractNumId w:val="7"/>
  </w:num>
  <w:num w:numId="5" w16cid:durableId="1128860285">
    <w:abstractNumId w:val="11"/>
  </w:num>
  <w:num w:numId="6" w16cid:durableId="1029716637">
    <w:abstractNumId w:val="5"/>
  </w:num>
  <w:num w:numId="7" w16cid:durableId="357587455">
    <w:abstractNumId w:val="16"/>
  </w:num>
  <w:num w:numId="8" w16cid:durableId="58788594">
    <w:abstractNumId w:val="19"/>
  </w:num>
  <w:num w:numId="9" w16cid:durableId="1066994513">
    <w:abstractNumId w:val="3"/>
  </w:num>
  <w:num w:numId="10" w16cid:durableId="56054752">
    <w:abstractNumId w:val="2"/>
  </w:num>
  <w:num w:numId="11" w16cid:durableId="1509522539">
    <w:abstractNumId w:val="4"/>
  </w:num>
  <w:num w:numId="12" w16cid:durableId="1081877965">
    <w:abstractNumId w:val="14"/>
  </w:num>
  <w:num w:numId="13" w16cid:durableId="2137291946">
    <w:abstractNumId w:val="15"/>
  </w:num>
  <w:num w:numId="14" w16cid:durableId="561253008">
    <w:abstractNumId w:val="10"/>
  </w:num>
  <w:num w:numId="15" w16cid:durableId="449519913">
    <w:abstractNumId w:val="18"/>
  </w:num>
  <w:num w:numId="16" w16cid:durableId="945429584">
    <w:abstractNumId w:val="17"/>
  </w:num>
  <w:num w:numId="17" w16cid:durableId="2073841980">
    <w:abstractNumId w:val="12"/>
  </w:num>
  <w:num w:numId="18" w16cid:durableId="13193041">
    <w:abstractNumId w:val="9"/>
  </w:num>
  <w:num w:numId="19" w16cid:durableId="55129557">
    <w:abstractNumId w:val="1"/>
  </w:num>
  <w:num w:numId="20" w16cid:durableId="405418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178"/>
    <w:rsid w:val="00013905"/>
    <w:rsid w:val="00013D57"/>
    <w:rsid w:val="00023801"/>
    <w:rsid w:val="000277AC"/>
    <w:rsid w:val="00033943"/>
    <w:rsid w:val="00056D6B"/>
    <w:rsid w:val="000609A3"/>
    <w:rsid w:val="00063A39"/>
    <w:rsid w:val="0006697F"/>
    <w:rsid w:val="00067347"/>
    <w:rsid w:val="0006797E"/>
    <w:rsid w:val="00077E86"/>
    <w:rsid w:val="000828C2"/>
    <w:rsid w:val="00083624"/>
    <w:rsid w:val="00087DAD"/>
    <w:rsid w:val="00093AF1"/>
    <w:rsid w:val="000957D0"/>
    <w:rsid w:val="00096FE3"/>
    <w:rsid w:val="000A2342"/>
    <w:rsid w:val="000A2B0F"/>
    <w:rsid w:val="000A4DAB"/>
    <w:rsid w:val="000B1C35"/>
    <w:rsid w:val="000B6E0C"/>
    <w:rsid w:val="000B7537"/>
    <w:rsid w:val="000D4242"/>
    <w:rsid w:val="000D5B73"/>
    <w:rsid w:val="000F22C5"/>
    <w:rsid w:val="000F2AA3"/>
    <w:rsid w:val="000F3478"/>
    <w:rsid w:val="000F4ACD"/>
    <w:rsid w:val="00100349"/>
    <w:rsid w:val="001113E6"/>
    <w:rsid w:val="001201AC"/>
    <w:rsid w:val="00121A8D"/>
    <w:rsid w:val="00122D21"/>
    <w:rsid w:val="00134A44"/>
    <w:rsid w:val="00134EC3"/>
    <w:rsid w:val="00134FD0"/>
    <w:rsid w:val="001425F8"/>
    <w:rsid w:val="00143EC0"/>
    <w:rsid w:val="00145221"/>
    <w:rsid w:val="00154EC3"/>
    <w:rsid w:val="001558B9"/>
    <w:rsid w:val="00157DE1"/>
    <w:rsid w:val="00170910"/>
    <w:rsid w:val="00181DD2"/>
    <w:rsid w:val="00187457"/>
    <w:rsid w:val="00191225"/>
    <w:rsid w:val="001A4618"/>
    <w:rsid w:val="001A50DD"/>
    <w:rsid w:val="001A7C0D"/>
    <w:rsid w:val="001B1900"/>
    <w:rsid w:val="001B564E"/>
    <w:rsid w:val="001B6EC1"/>
    <w:rsid w:val="001C2AA9"/>
    <w:rsid w:val="001D3192"/>
    <w:rsid w:val="001D39F9"/>
    <w:rsid w:val="001D4027"/>
    <w:rsid w:val="001D61AA"/>
    <w:rsid w:val="001E2F9C"/>
    <w:rsid w:val="001E4B83"/>
    <w:rsid w:val="001E7EDF"/>
    <w:rsid w:val="001F0FF2"/>
    <w:rsid w:val="001F1550"/>
    <w:rsid w:val="001F1C7B"/>
    <w:rsid w:val="001F4D43"/>
    <w:rsid w:val="001F6CC9"/>
    <w:rsid w:val="00201147"/>
    <w:rsid w:val="00201688"/>
    <w:rsid w:val="0022433E"/>
    <w:rsid w:val="00224F68"/>
    <w:rsid w:val="00227541"/>
    <w:rsid w:val="002341DC"/>
    <w:rsid w:val="002341EC"/>
    <w:rsid w:val="00235B17"/>
    <w:rsid w:val="00237260"/>
    <w:rsid w:val="00240617"/>
    <w:rsid w:val="002432CF"/>
    <w:rsid w:val="00245EFB"/>
    <w:rsid w:val="002541CE"/>
    <w:rsid w:val="002543D7"/>
    <w:rsid w:val="00254836"/>
    <w:rsid w:val="00256145"/>
    <w:rsid w:val="0026308C"/>
    <w:rsid w:val="00264DCD"/>
    <w:rsid w:val="00266518"/>
    <w:rsid w:val="00267541"/>
    <w:rsid w:val="00272668"/>
    <w:rsid w:val="00281EE3"/>
    <w:rsid w:val="00283A76"/>
    <w:rsid w:val="00290532"/>
    <w:rsid w:val="00292176"/>
    <w:rsid w:val="00292979"/>
    <w:rsid w:val="002935AE"/>
    <w:rsid w:val="00295DF7"/>
    <w:rsid w:val="00297EDB"/>
    <w:rsid w:val="002A2B85"/>
    <w:rsid w:val="002B2746"/>
    <w:rsid w:val="002B3EC6"/>
    <w:rsid w:val="002D4970"/>
    <w:rsid w:val="002D7943"/>
    <w:rsid w:val="002E4D8C"/>
    <w:rsid w:val="002E5203"/>
    <w:rsid w:val="002E7F49"/>
    <w:rsid w:val="002F5700"/>
    <w:rsid w:val="002F6E3E"/>
    <w:rsid w:val="002F7765"/>
    <w:rsid w:val="003016A0"/>
    <w:rsid w:val="00312084"/>
    <w:rsid w:val="00321186"/>
    <w:rsid w:val="00333D83"/>
    <w:rsid w:val="00334C09"/>
    <w:rsid w:val="00335066"/>
    <w:rsid w:val="00353026"/>
    <w:rsid w:val="003605D5"/>
    <w:rsid w:val="003623BA"/>
    <w:rsid w:val="003873FF"/>
    <w:rsid w:val="00387416"/>
    <w:rsid w:val="003978E8"/>
    <w:rsid w:val="003A3C9C"/>
    <w:rsid w:val="003C2BF6"/>
    <w:rsid w:val="003C37FB"/>
    <w:rsid w:val="003D07CE"/>
    <w:rsid w:val="003D14E0"/>
    <w:rsid w:val="003D3A6C"/>
    <w:rsid w:val="003D7EEF"/>
    <w:rsid w:val="003E0C90"/>
    <w:rsid w:val="003E2E73"/>
    <w:rsid w:val="003E5D0F"/>
    <w:rsid w:val="003F43F0"/>
    <w:rsid w:val="003F5DFF"/>
    <w:rsid w:val="00405A73"/>
    <w:rsid w:val="00407A36"/>
    <w:rsid w:val="004119FA"/>
    <w:rsid w:val="004153D2"/>
    <w:rsid w:val="004166B6"/>
    <w:rsid w:val="0046074F"/>
    <w:rsid w:val="00460A30"/>
    <w:rsid w:val="00461419"/>
    <w:rsid w:val="0046409B"/>
    <w:rsid w:val="00464663"/>
    <w:rsid w:val="004677C2"/>
    <w:rsid w:val="00467C60"/>
    <w:rsid w:val="004754D2"/>
    <w:rsid w:val="00486F6C"/>
    <w:rsid w:val="00496078"/>
    <w:rsid w:val="004978C2"/>
    <w:rsid w:val="004A0842"/>
    <w:rsid w:val="004A70E9"/>
    <w:rsid w:val="004B21F2"/>
    <w:rsid w:val="004B603B"/>
    <w:rsid w:val="004C1DCF"/>
    <w:rsid w:val="004C40CE"/>
    <w:rsid w:val="004D3A13"/>
    <w:rsid w:val="004D3F62"/>
    <w:rsid w:val="004D6D85"/>
    <w:rsid w:val="004E144F"/>
    <w:rsid w:val="004E2FB3"/>
    <w:rsid w:val="004F0184"/>
    <w:rsid w:val="004F2020"/>
    <w:rsid w:val="004F2FB3"/>
    <w:rsid w:val="004F3D65"/>
    <w:rsid w:val="005025B9"/>
    <w:rsid w:val="00503CFB"/>
    <w:rsid w:val="00506858"/>
    <w:rsid w:val="00507459"/>
    <w:rsid w:val="00511B5D"/>
    <w:rsid w:val="00512DB7"/>
    <w:rsid w:val="0051695D"/>
    <w:rsid w:val="00520406"/>
    <w:rsid w:val="00532F3E"/>
    <w:rsid w:val="00545ED4"/>
    <w:rsid w:val="00553A06"/>
    <w:rsid w:val="00556A8C"/>
    <w:rsid w:val="005605D7"/>
    <w:rsid w:val="00567580"/>
    <w:rsid w:val="00573442"/>
    <w:rsid w:val="005742BA"/>
    <w:rsid w:val="00580D8E"/>
    <w:rsid w:val="00587FC2"/>
    <w:rsid w:val="005941AD"/>
    <w:rsid w:val="0059438F"/>
    <w:rsid w:val="005A12C5"/>
    <w:rsid w:val="005A2124"/>
    <w:rsid w:val="005A5FBF"/>
    <w:rsid w:val="005C5284"/>
    <w:rsid w:val="005C6B50"/>
    <w:rsid w:val="005D347E"/>
    <w:rsid w:val="005E20A0"/>
    <w:rsid w:val="005E4EB3"/>
    <w:rsid w:val="005E5C0C"/>
    <w:rsid w:val="00604F71"/>
    <w:rsid w:val="0060600C"/>
    <w:rsid w:val="00607755"/>
    <w:rsid w:val="00610D3E"/>
    <w:rsid w:val="00615F30"/>
    <w:rsid w:val="00616FCD"/>
    <w:rsid w:val="00621E08"/>
    <w:rsid w:val="00622146"/>
    <w:rsid w:val="006254B4"/>
    <w:rsid w:val="006264C4"/>
    <w:rsid w:val="00626CF8"/>
    <w:rsid w:val="00631561"/>
    <w:rsid w:val="00633555"/>
    <w:rsid w:val="0063689F"/>
    <w:rsid w:val="00636C0F"/>
    <w:rsid w:val="00640C90"/>
    <w:rsid w:val="00645679"/>
    <w:rsid w:val="00646F98"/>
    <w:rsid w:val="0065526E"/>
    <w:rsid w:val="00655E82"/>
    <w:rsid w:val="00657759"/>
    <w:rsid w:val="00663EC5"/>
    <w:rsid w:val="0066455E"/>
    <w:rsid w:val="0066513C"/>
    <w:rsid w:val="00665531"/>
    <w:rsid w:val="006757FD"/>
    <w:rsid w:val="00692D04"/>
    <w:rsid w:val="006A4427"/>
    <w:rsid w:val="006A77F9"/>
    <w:rsid w:val="006C65FC"/>
    <w:rsid w:val="006D39F9"/>
    <w:rsid w:val="006D730A"/>
    <w:rsid w:val="006E01AD"/>
    <w:rsid w:val="006E0402"/>
    <w:rsid w:val="006E1299"/>
    <w:rsid w:val="006F0F76"/>
    <w:rsid w:val="006F1928"/>
    <w:rsid w:val="006F2C64"/>
    <w:rsid w:val="006F50BD"/>
    <w:rsid w:val="006F7177"/>
    <w:rsid w:val="006F77AA"/>
    <w:rsid w:val="00701EB4"/>
    <w:rsid w:val="00710E93"/>
    <w:rsid w:val="00715BCD"/>
    <w:rsid w:val="00721863"/>
    <w:rsid w:val="007259A4"/>
    <w:rsid w:val="00727DE4"/>
    <w:rsid w:val="00731554"/>
    <w:rsid w:val="00740078"/>
    <w:rsid w:val="00743A19"/>
    <w:rsid w:val="00753D0A"/>
    <w:rsid w:val="00754489"/>
    <w:rsid w:val="0075602C"/>
    <w:rsid w:val="0076103A"/>
    <w:rsid w:val="00762E9E"/>
    <w:rsid w:val="0076642E"/>
    <w:rsid w:val="00775D2A"/>
    <w:rsid w:val="00783172"/>
    <w:rsid w:val="00783191"/>
    <w:rsid w:val="007851C7"/>
    <w:rsid w:val="0078788E"/>
    <w:rsid w:val="00791C15"/>
    <w:rsid w:val="00793F37"/>
    <w:rsid w:val="0079516C"/>
    <w:rsid w:val="007A1C95"/>
    <w:rsid w:val="007A2066"/>
    <w:rsid w:val="007A20F3"/>
    <w:rsid w:val="007B02D1"/>
    <w:rsid w:val="007B3A2E"/>
    <w:rsid w:val="007D141B"/>
    <w:rsid w:val="007D60EC"/>
    <w:rsid w:val="007D7049"/>
    <w:rsid w:val="007E0E6F"/>
    <w:rsid w:val="007E5E18"/>
    <w:rsid w:val="007E7A6F"/>
    <w:rsid w:val="007F3EF7"/>
    <w:rsid w:val="007F49B7"/>
    <w:rsid w:val="007F5908"/>
    <w:rsid w:val="007F5A68"/>
    <w:rsid w:val="007F5BD8"/>
    <w:rsid w:val="00800D80"/>
    <w:rsid w:val="00803652"/>
    <w:rsid w:val="00805105"/>
    <w:rsid w:val="008258A1"/>
    <w:rsid w:val="008264F5"/>
    <w:rsid w:val="00826E54"/>
    <w:rsid w:val="00830039"/>
    <w:rsid w:val="00833F0C"/>
    <w:rsid w:val="00837234"/>
    <w:rsid w:val="00842CDB"/>
    <w:rsid w:val="00845722"/>
    <w:rsid w:val="00854F05"/>
    <w:rsid w:val="00866178"/>
    <w:rsid w:val="00866720"/>
    <w:rsid w:val="008675A7"/>
    <w:rsid w:val="00871DB0"/>
    <w:rsid w:val="008736D8"/>
    <w:rsid w:val="00874715"/>
    <w:rsid w:val="00874A07"/>
    <w:rsid w:val="00876AAB"/>
    <w:rsid w:val="008802E4"/>
    <w:rsid w:val="00890248"/>
    <w:rsid w:val="00891090"/>
    <w:rsid w:val="008943AC"/>
    <w:rsid w:val="008A6258"/>
    <w:rsid w:val="008B22EF"/>
    <w:rsid w:val="008B59B9"/>
    <w:rsid w:val="008D0B35"/>
    <w:rsid w:val="008D7854"/>
    <w:rsid w:val="008E5A31"/>
    <w:rsid w:val="008E66EE"/>
    <w:rsid w:val="008F1E30"/>
    <w:rsid w:val="008F4368"/>
    <w:rsid w:val="00901996"/>
    <w:rsid w:val="009022E1"/>
    <w:rsid w:val="00920662"/>
    <w:rsid w:val="00927D51"/>
    <w:rsid w:val="009301E1"/>
    <w:rsid w:val="00935601"/>
    <w:rsid w:val="0093684C"/>
    <w:rsid w:val="00940076"/>
    <w:rsid w:val="00946E3D"/>
    <w:rsid w:val="009512C5"/>
    <w:rsid w:val="009703CD"/>
    <w:rsid w:val="00982BC3"/>
    <w:rsid w:val="0098343E"/>
    <w:rsid w:val="009855EC"/>
    <w:rsid w:val="0098604E"/>
    <w:rsid w:val="009910C8"/>
    <w:rsid w:val="00991634"/>
    <w:rsid w:val="00992354"/>
    <w:rsid w:val="009978CE"/>
    <w:rsid w:val="009A27D7"/>
    <w:rsid w:val="009A3989"/>
    <w:rsid w:val="009B33B7"/>
    <w:rsid w:val="009B5D04"/>
    <w:rsid w:val="009C7113"/>
    <w:rsid w:val="009D1208"/>
    <w:rsid w:val="009D181C"/>
    <w:rsid w:val="009D1A14"/>
    <w:rsid w:val="009E1001"/>
    <w:rsid w:val="009F40E0"/>
    <w:rsid w:val="009F4BBC"/>
    <w:rsid w:val="00A01E3A"/>
    <w:rsid w:val="00A05F7B"/>
    <w:rsid w:val="00A124CA"/>
    <w:rsid w:val="00A144E7"/>
    <w:rsid w:val="00A2153A"/>
    <w:rsid w:val="00A33BB6"/>
    <w:rsid w:val="00A373E0"/>
    <w:rsid w:val="00A43928"/>
    <w:rsid w:val="00A4678B"/>
    <w:rsid w:val="00A46ADF"/>
    <w:rsid w:val="00A4790D"/>
    <w:rsid w:val="00A51C9D"/>
    <w:rsid w:val="00A53533"/>
    <w:rsid w:val="00A5371A"/>
    <w:rsid w:val="00A540A4"/>
    <w:rsid w:val="00A676BF"/>
    <w:rsid w:val="00A71B12"/>
    <w:rsid w:val="00A8172E"/>
    <w:rsid w:val="00A81F88"/>
    <w:rsid w:val="00A87F89"/>
    <w:rsid w:val="00A90AA9"/>
    <w:rsid w:val="00AA0538"/>
    <w:rsid w:val="00AA0E7C"/>
    <w:rsid w:val="00AA0EF4"/>
    <w:rsid w:val="00AA4DCC"/>
    <w:rsid w:val="00AB171E"/>
    <w:rsid w:val="00AB5357"/>
    <w:rsid w:val="00AB5418"/>
    <w:rsid w:val="00AB63BC"/>
    <w:rsid w:val="00AD4021"/>
    <w:rsid w:val="00AD484A"/>
    <w:rsid w:val="00AD63B6"/>
    <w:rsid w:val="00AF1D89"/>
    <w:rsid w:val="00B00891"/>
    <w:rsid w:val="00B00DB8"/>
    <w:rsid w:val="00B05B65"/>
    <w:rsid w:val="00B145CA"/>
    <w:rsid w:val="00B2076C"/>
    <w:rsid w:val="00B22295"/>
    <w:rsid w:val="00B22495"/>
    <w:rsid w:val="00B242F3"/>
    <w:rsid w:val="00B30310"/>
    <w:rsid w:val="00B40F5A"/>
    <w:rsid w:val="00B50268"/>
    <w:rsid w:val="00B5507F"/>
    <w:rsid w:val="00B571D6"/>
    <w:rsid w:val="00B70383"/>
    <w:rsid w:val="00B72769"/>
    <w:rsid w:val="00B73351"/>
    <w:rsid w:val="00B7463F"/>
    <w:rsid w:val="00B819CD"/>
    <w:rsid w:val="00B8268E"/>
    <w:rsid w:val="00B84D88"/>
    <w:rsid w:val="00B86CBD"/>
    <w:rsid w:val="00BA319A"/>
    <w:rsid w:val="00BA4FC0"/>
    <w:rsid w:val="00BA7F09"/>
    <w:rsid w:val="00BB6E72"/>
    <w:rsid w:val="00BC3E42"/>
    <w:rsid w:val="00BD3E6B"/>
    <w:rsid w:val="00BD6302"/>
    <w:rsid w:val="00BD7FFE"/>
    <w:rsid w:val="00BE3E42"/>
    <w:rsid w:val="00BE6030"/>
    <w:rsid w:val="00BF44C4"/>
    <w:rsid w:val="00C02503"/>
    <w:rsid w:val="00C03BB4"/>
    <w:rsid w:val="00C06674"/>
    <w:rsid w:val="00C07635"/>
    <w:rsid w:val="00C108A1"/>
    <w:rsid w:val="00C135AA"/>
    <w:rsid w:val="00C20FFB"/>
    <w:rsid w:val="00C25237"/>
    <w:rsid w:val="00C25E18"/>
    <w:rsid w:val="00C33102"/>
    <w:rsid w:val="00C33909"/>
    <w:rsid w:val="00C35C5A"/>
    <w:rsid w:val="00C443C5"/>
    <w:rsid w:val="00C45912"/>
    <w:rsid w:val="00C5318D"/>
    <w:rsid w:val="00C57DF3"/>
    <w:rsid w:val="00C635C3"/>
    <w:rsid w:val="00C66928"/>
    <w:rsid w:val="00C7415B"/>
    <w:rsid w:val="00C74E17"/>
    <w:rsid w:val="00C77FFD"/>
    <w:rsid w:val="00C821F2"/>
    <w:rsid w:val="00C8626A"/>
    <w:rsid w:val="00C869F1"/>
    <w:rsid w:val="00C92EC6"/>
    <w:rsid w:val="00CA0672"/>
    <w:rsid w:val="00CA337B"/>
    <w:rsid w:val="00CB2D6F"/>
    <w:rsid w:val="00CB2F2E"/>
    <w:rsid w:val="00CB7966"/>
    <w:rsid w:val="00CE2926"/>
    <w:rsid w:val="00CE3F39"/>
    <w:rsid w:val="00CF28A6"/>
    <w:rsid w:val="00CF3700"/>
    <w:rsid w:val="00CF479D"/>
    <w:rsid w:val="00CF5CB9"/>
    <w:rsid w:val="00D066D7"/>
    <w:rsid w:val="00D17A89"/>
    <w:rsid w:val="00D26115"/>
    <w:rsid w:val="00D3438D"/>
    <w:rsid w:val="00D44BF0"/>
    <w:rsid w:val="00D50C89"/>
    <w:rsid w:val="00D647C5"/>
    <w:rsid w:val="00D65CB7"/>
    <w:rsid w:val="00D65CD4"/>
    <w:rsid w:val="00D71FF2"/>
    <w:rsid w:val="00D723FF"/>
    <w:rsid w:val="00D72F1D"/>
    <w:rsid w:val="00D77106"/>
    <w:rsid w:val="00D83E2B"/>
    <w:rsid w:val="00D85BF2"/>
    <w:rsid w:val="00D9588A"/>
    <w:rsid w:val="00DB3B94"/>
    <w:rsid w:val="00DB5A79"/>
    <w:rsid w:val="00DC23F1"/>
    <w:rsid w:val="00DD129D"/>
    <w:rsid w:val="00DD3FBA"/>
    <w:rsid w:val="00DE3927"/>
    <w:rsid w:val="00DE3CB2"/>
    <w:rsid w:val="00DE7629"/>
    <w:rsid w:val="00DE789E"/>
    <w:rsid w:val="00DF01EB"/>
    <w:rsid w:val="00DF07A0"/>
    <w:rsid w:val="00DF311D"/>
    <w:rsid w:val="00E07A4C"/>
    <w:rsid w:val="00E07C1B"/>
    <w:rsid w:val="00E10D6C"/>
    <w:rsid w:val="00E12F17"/>
    <w:rsid w:val="00E16121"/>
    <w:rsid w:val="00E2210C"/>
    <w:rsid w:val="00E3287D"/>
    <w:rsid w:val="00E402C1"/>
    <w:rsid w:val="00E4130E"/>
    <w:rsid w:val="00E42EA7"/>
    <w:rsid w:val="00E4427A"/>
    <w:rsid w:val="00E52B40"/>
    <w:rsid w:val="00E56DF2"/>
    <w:rsid w:val="00E60B9F"/>
    <w:rsid w:val="00E61636"/>
    <w:rsid w:val="00E72967"/>
    <w:rsid w:val="00E74F42"/>
    <w:rsid w:val="00E757B1"/>
    <w:rsid w:val="00E759A2"/>
    <w:rsid w:val="00E80C47"/>
    <w:rsid w:val="00E835B6"/>
    <w:rsid w:val="00E86D5C"/>
    <w:rsid w:val="00E907B6"/>
    <w:rsid w:val="00E91464"/>
    <w:rsid w:val="00E95B85"/>
    <w:rsid w:val="00E96423"/>
    <w:rsid w:val="00EA0410"/>
    <w:rsid w:val="00EA4EE0"/>
    <w:rsid w:val="00EA5ACA"/>
    <w:rsid w:val="00EB4628"/>
    <w:rsid w:val="00EB78B7"/>
    <w:rsid w:val="00EC2482"/>
    <w:rsid w:val="00ED0934"/>
    <w:rsid w:val="00ED2167"/>
    <w:rsid w:val="00ED664F"/>
    <w:rsid w:val="00EE3A98"/>
    <w:rsid w:val="00EF08D6"/>
    <w:rsid w:val="00EF20D2"/>
    <w:rsid w:val="00EF28B9"/>
    <w:rsid w:val="00EF356D"/>
    <w:rsid w:val="00EF4464"/>
    <w:rsid w:val="00EF48FB"/>
    <w:rsid w:val="00F03FCD"/>
    <w:rsid w:val="00F11B90"/>
    <w:rsid w:val="00F2119E"/>
    <w:rsid w:val="00F43766"/>
    <w:rsid w:val="00F47D73"/>
    <w:rsid w:val="00F5264E"/>
    <w:rsid w:val="00F55957"/>
    <w:rsid w:val="00F55CB6"/>
    <w:rsid w:val="00F62284"/>
    <w:rsid w:val="00F62A6A"/>
    <w:rsid w:val="00F72A30"/>
    <w:rsid w:val="00F761CD"/>
    <w:rsid w:val="00F82DFC"/>
    <w:rsid w:val="00F934D8"/>
    <w:rsid w:val="00FA5727"/>
    <w:rsid w:val="00FA6508"/>
    <w:rsid w:val="00FB05CB"/>
    <w:rsid w:val="00FB558C"/>
    <w:rsid w:val="00FB6EDF"/>
    <w:rsid w:val="00FC23AC"/>
    <w:rsid w:val="00FD2B3D"/>
    <w:rsid w:val="00FD2CCB"/>
    <w:rsid w:val="00FD4C0D"/>
    <w:rsid w:val="00FE36BD"/>
    <w:rsid w:val="00FE559B"/>
    <w:rsid w:val="00FE65AC"/>
    <w:rsid w:val="00FE7580"/>
    <w:rsid w:val="00FF609C"/>
    <w:rsid w:val="00FF6E37"/>
    <w:rsid w:val="00FF73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5DEFD"/>
  <w15:chartTrackingRefBased/>
  <w15:docId w15:val="{AD437D63-5F6C-D14D-9555-6A4B683B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629"/>
    <w:pPr>
      <w:spacing w:line="259" w:lineRule="auto"/>
    </w:pPr>
    <w:rPr>
      <w:rFonts w:ascii="Times New Roman" w:eastAsia="Times New Roman" w:hAnsi="Times New Roman" w:cs="Times New Roman"/>
      <w:kern w:val="0"/>
      <w:lang w:val="fr-BE" w:eastAsia="ja-JP"/>
      <w14:ligatures w14:val="none"/>
    </w:rPr>
  </w:style>
  <w:style w:type="paragraph" w:styleId="Kop1">
    <w:name w:val="heading 1"/>
    <w:basedOn w:val="Standaard"/>
    <w:next w:val="Standaard"/>
    <w:link w:val="Kop1Char"/>
    <w:uiPriority w:val="9"/>
    <w:qFormat/>
    <w:rsid w:val="00093AF1"/>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Kop2">
    <w:name w:val="heading 2"/>
    <w:basedOn w:val="Standaard"/>
    <w:next w:val="Standaard"/>
    <w:link w:val="Kop2Char"/>
    <w:uiPriority w:val="9"/>
    <w:unhideWhenUsed/>
    <w:qFormat/>
    <w:rsid w:val="00093AF1"/>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Kop3">
    <w:name w:val="heading 3"/>
    <w:basedOn w:val="Standaard"/>
    <w:next w:val="Standaard"/>
    <w:link w:val="Kop3Char"/>
    <w:uiPriority w:val="9"/>
    <w:unhideWhenUsed/>
    <w:qFormat/>
    <w:rsid w:val="00093AF1"/>
    <w:pPr>
      <w:keepNext/>
      <w:keepLines/>
      <w:spacing w:before="160" w:after="80"/>
      <w:ind w:left="708"/>
      <w:outlineLvl w:val="2"/>
    </w:pPr>
    <w:rPr>
      <w:rFonts w:eastAsiaTheme="majorEastAsia" w:cstheme="majorBidi"/>
      <w:i/>
      <w:color w:val="000000" w:themeColor="text1"/>
      <w:sz w:val="28"/>
      <w:szCs w:val="28"/>
    </w:rPr>
  </w:style>
  <w:style w:type="paragraph" w:styleId="Kop4">
    <w:name w:val="heading 4"/>
    <w:basedOn w:val="Standaard"/>
    <w:next w:val="Standaard"/>
    <w:link w:val="Kop4Char"/>
    <w:uiPriority w:val="9"/>
    <w:unhideWhenUsed/>
    <w:qFormat/>
    <w:rsid w:val="00D50C89"/>
    <w:pPr>
      <w:keepNext/>
      <w:keepLines/>
      <w:spacing w:before="80" w:after="40"/>
      <w:outlineLvl w:val="3"/>
    </w:pPr>
    <w:rPr>
      <w:rFonts w:eastAsiaTheme="majorEastAsia" w:cstheme="majorBidi"/>
      <w:i/>
      <w:iCs/>
      <w:color w:val="000000" w:themeColor="text1"/>
      <w:u w:val="single"/>
    </w:rPr>
  </w:style>
  <w:style w:type="paragraph" w:styleId="Kop5">
    <w:name w:val="heading 5"/>
    <w:basedOn w:val="Standaard"/>
    <w:next w:val="Standaard"/>
    <w:link w:val="Kop5Char"/>
    <w:uiPriority w:val="9"/>
    <w:semiHidden/>
    <w:unhideWhenUsed/>
    <w:qFormat/>
    <w:rsid w:val="008661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61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61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61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61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3AF1"/>
    <w:rPr>
      <w:rFonts w:asciiTheme="majorHAnsi" w:eastAsiaTheme="majorEastAsia" w:hAnsiTheme="majorHAnsi" w:cstheme="majorBidi"/>
      <w:color w:val="000000" w:themeColor="text1"/>
      <w:kern w:val="0"/>
      <w:sz w:val="40"/>
      <w:szCs w:val="40"/>
      <w:lang w:val="fr-BE" w:eastAsia="ja-JP"/>
      <w14:ligatures w14:val="none"/>
    </w:rPr>
  </w:style>
  <w:style w:type="character" w:customStyle="1" w:styleId="Kop2Char">
    <w:name w:val="Kop 2 Char"/>
    <w:basedOn w:val="Standaardalinea-lettertype"/>
    <w:link w:val="Kop2"/>
    <w:uiPriority w:val="9"/>
    <w:rsid w:val="00093AF1"/>
    <w:rPr>
      <w:rFonts w:asciiTheme="majorHAnsi" w:eastAsiaTheme="majorEastAsia" w:hAnsiTheme="majorHAnsi" w:cstheme="majorBidi"/>
      <w:color w:val="000000" w:themeColor="text1"/>
      <w:kern w:val="0"/>
      <w:sz w:val="32"/>
      <w:szCs w:val="32"/>
      <w:lang w:val="fr-BE" w:eastAsia="ja-JP"/>
      <w14:ligatures w14:val="none"/>
    </w:rPr>
  </w:style>
  <w:style w:type="character" w:customStyle="1" w:styleId="Kop3Char">
    <w:name w:val="Kop 3 Char"/>
    <w:basedOn w:val="Standaardalinea-lettertype"/>
    <w:link w:val="Kop3"/>
    <w:uiPriority w:val="9"/>
    <w:rsid w:val="00093AF1"/>
    <w:rPr>
      <w:rFonts w:ascii="Times New Roman" w:eastAsiaTheme="majorEastAsia" w:hAnsi="Times New Roman" w:cstheme="majorBidi"/>
      <w:i/>
      <w:color w:val="000000" w:themeColor="text1"/>
      <w:kern w:val="0"/>
      <w:sz w:val="28"/>
      <w:szCs w:val="28"/>
      <w:lang w:val="fr-BE" w:eastAsia="ja-JP"/>
      <w14:ligatures w14:val="none"/>
    </w:rPr>
  </w:style>
  <w:style w:type="character" w:customStyle="1" w:styleId="Kop4Char">
    <w:name w:val="Kop 4 Char"/>
    <w:basedOn w:val="Standaardalinea-lettertype"/>
    <w:link w:val="Kop4"/>
    <w:uiPriority w:val="9"/>
    <w:rsid w:val="00D50C89"/>
    <w:rPr>
      <w:rFonts w:ascii="Times New Roman" w:eastAsiaTheme="majorEastAsia" w:hAnsi="Times New Roman" w:cstheme="majorBidi"/>
      <w:i/>
      <w:iCs/>
      <w:color w:val="000000" w:themeColor="text1"/>
      <w:kern w:val="0"/>
      <w:u w:val="single"/>
      <w:lang w:val="fr-BE" w:eastAsia="ja-JP"/>
      <w14:ligatures w14:val="none"/>
    </w:rPr>
  </w:style>
  <w:style w:type="character" w:customStyle="1" w:styleId="Kop5Char">
    <w:name w:val="Kop 5 Char"/>
    <w:basedOn w:val="Standaardalinea-lettertype"/>
    <w:link w:val="Kop5"/>
    <w:uiPriority w:val="9"/>
    <w:semiHidden/>
    <w:rsid w:val="008661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61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61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61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6178"/>
    <w:rPr>
      <w:rFonts w:eastAsiaTheme="majorEastAsia" w:cstheme="majorBidi"/>
      <w:color w:val="272727" w:themeColor="text1" w:themeTint="D8"/>
    </w:rPr>
  </w:style>
  <w:style w:type="paragraph" w:styleId="Titel">
    <w:name w:val="Title"/>
    <w:basedOn w:val="Standaard"/>
    <w:next w:val="Standaard"/>
    <w:link w:val="TitelChar"/>
    <w:uiPriority w:val="10"/>
    <w:qFormat/>
    <w:rsid w:val="00866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61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61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61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61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6178"/>
    <w:rPr>
      <w:i/>
      <w:iCs/>
      <w:color w:val="404040" w:themeColor="text1" w:themeTint="BF"/>
    </w:rPr>
  </w:style>
  <w:style w:type="paragraph" w:styleId="Lijstalinea">
    <w:name w:val="List Paragraph"/>
    <w:basedOn w:val="Standaard"/>
    <w:uiPriority w:val="1"/>
    <w:qFormat/>
    <w:rsid w:val="00866178"/>
    <w:pPr>
      <w:ind w:left="720"/>
      <w:contextualSpacing/>
    </w:pPr>
  </w:style>
  <w:style w:type="character" w:styleId="Intensievebenadrukking">
    <w:name w:val="Intense Emphasis"/>
    <w:basedOn w:val="Standaardalinea-lettertype"/>
    <w:uiPriority w:val="21"/>
    <w:qFormat/>
    <w:rsid w:val="00866178"/>
    <w:rPr>
      <w:i/>
      <w:iCs/>
      <w:color w:val="0F4761" w:themeColor="accent1" w:themeShade="BF"/>
    </w:rPr>
  </w:style>
  <w:style w:type="paragraph" w:styleId="Duidelijkcitaat">
    <w:name w:val="Intense Quote"/>
    <w:basedOn w:val="Standaard"/>
    <w:next w:val="Standaard"/>
    <w:link w:val="DuidelijkcitaatChar"/>
    <w:uiPriority w:val="30"/>
    <w:qFormat/>
    <w:rsid w:val="00866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6178"/>
    <w:rPr>
      <w:i/>
      <w:iCs/>
      <w:color w:val="0F4761" w:themeColor="accent1" w:themeShade="BF"/>
    </w:rPr>
  </w:style>
  <w:style w:type="character" w:styleId="Intensieveverwijzing">
    <w:name w:val="Intense Reference"/>
    <w:basedOn w:val="Standaardalinea-lettertype"/>
    <w:uiPriority w:val="32"/>
    <w:qFormat/>
    <w:rsid w:val="00866178"/>
    <w:rPr>
      <w:b/>
      <w:bCs/>
      <w:smallCaps/>
      <w:color w:val="0F4761" w:themeColor="accent1" w:themeShade="BF"/>
      <w:spacing w:val="5"/>
    </w:rPr>
  </w:style>
  <w:style w:type="paragraph" w:customStyle="1" w:styleId="Normal0">
    <w:name w:val="Normal0"/>
    <w:qFormat/>
    <w:rsid w:val="00866178"/>
    <w:pPr>
      <w:spacing w:line="259" w:lineRule="auto"/>
    </w:pPr>
    <w:rPr>
      <w:rFonts w:ascii="Times New Roman" w:hAnsi="Times New Roman"/>
      <w:kern w:val="0"/>
      <w:szCs w:val="22"/>
      <w14:ligatures w14:val="none"/>
    </w:rPr>
  </w:style>
  <w:style w:type="paragraph" w:styleId="Voetnoottekst">
    <w:name w:val="footnote text"/>
    <w:aliases w:val="Footnote Text Char Char Char Char,Footnote Text Char Char Char,Footnotes,Note de bas de page2,footnote text"/>
    <w:basedOn w:val="Normal0"/>
    <w:link w:val="VoetnoottekstChar"/>
    <w:uiPriority w:val="99"/>
    <w:qFormat/>
    <w:rsid w:val="00866178"/>
    <w:pPr>
      <w:spacing w:after="0" w:line="240" w:lineRule="auto"/>
    </w:pPr>
    <w:rPr>
      <w:sz w:val="20"/>
      <w:szCs w:val="20"/>
    </w:rPr>
  </w:style>
  <w:style w:type="character" w:customStyle="1" w:styleId="VoetnoottekstChar">
    <w:name w:val="Voetnoottekst Char"/>
    <w:aliases w:val="Footnote Text Char Char Char Char Char,Footnote Text Char Char Char Char1,Footnotes Char,Note de bas de page2 Char,footnote text Char"/>
    <w:basedOn w:val="Standaardalinea-lettertype"/>
    <w:link w:val="Voetnoottekst"/>
    <w:uiPriority w:val="99"/>
    <w:rsid w:val="00866178"/>
    <w:rPr>
      <w:rFonts w:ascii="Times New Roman" w:hAnsi="Times New Roman"/>
      <w:kern w:val="0"/>
      <w:sz w:val="20"/>
      <w:szCs w:val="20"/>
      <w14:ligatures w14:val="none"/>
    </w:rPr>
  </w:style>
  <w:style w:type="paragraph" w:styleId="Normaalweb">
    <w:name w:val="Normal (Web)"/>
    <w:basedOn w:val="Normal0"/>
    <w:uiPriority w:val="99"/>
    <w:semiHidden/>
    <w:rsid w:val="00866178"/>
  </w:style>
  <w:style w:type="character" w:styleId="Voetnootmarkering">
    <w:name w:val="footnote reference"/>
    <w:uiPriority w:val="99"/>
    <w:rsid w:val="00866178"/>
    <w:rPr>
      <w:vertAlign w:val="superscript"/>
    </w:rPr>
  </w:style>
  <w:style w:type="character" w:styleId="Nadruk">
    <w:name w:val="Emphasis"/>
    <w:basedOn w:val="Standaardalinea-lettertype"/>
    <w:uiPriority w:val="20"/>
    <w:qFormat/>
    <w:rsid w:val="00866178"/>
    <w:rPr>
      <w:i/>
      <w:iCs/>
    </w:rPr>
  </w:style>
  <w:style w:type="character" w:styleId="Hyperlink">
    <w:name w:val="Hyperlink"/>
    <w:basedOn w:val="Standaardalinea-lettertype"/>
    <w:uiPriority w:val="99"/>
    <w:unhideWhenUsed/>
    <w:rsid w:val="00866178"/>
    <w:rPr>
      <w:color w:val="467886" w:themeColor="hyperlink"/>
      <w:u w:val="single"/>
    </w:rPr>
  </w:style>
  <w:style w:type="character" w:styleId="Onopgelostemelding">
    <w:name w:val="Unresolved Mention"/>
    <w:basedOn w:val="Standaardalinea-lettertype"/>
    <w:uiPriority w:val="99"/>
    <w:semiHidden/>
    <w:unhideWhenUsed/>
    <w:rsid w:val="00866178"/>
    <w:rPr>
      <w:color w:val="605E5C"/>
      <w:shd w:val="clear" w:color="auto" w:fill="E1DFDD"/>
    </w:rPr>
  </w:style>
  <w:style w:type="paragraph" w:styleId="Plattetekst">
    <w:name w:val="Body Text"/>
    <w:basedOn w:val="Standaard"/>
    <w:link w:val="PlattetekstChar"/>
    <w:uiPriority w:val="1"/>
    <w:qFormat/>
    <w:rsid w:val="009F4BBC"/>
    <w:pPr>
      <w:widowControl w:val="0"/>
      <w:autoSpaceDE w:val="0"/>
      <w:autoSpaceDN w:val="0"/>
      <w:spacing w:after="0" w:line="240" w:lineRule="auto"/>
    </w:pPr>
    <w:rPr>
      <w:lang w:val="en-US" w:eastAsia="en-US"/>
    </w:rPr>
  </w:style>
  <w:style w:type="character" w:customStyle="1" w:styleId="PlattetekstChar">
    <w:name w:val="Platte tekst Char"/>
    <w:basedOn w:val="Standaardalinea-lettertype"/>
    <w:link w:val="Plattetekst"/>
    <w:uiPriority w:val="1"/>
    <w:rsid w:val="009F4BBC"/>
    <w:rPr>
      <w:rFonts w:ascii="Times New Roman" w:eastAsia="Times New Roman" w:hAnsi="Times New Roman" w:cs="Times New Roman"/>
      <w:kern w:val="0"/>
      <w:lang w:val="en-US"/>
      <w14:ligatures w14:val="none"/>
    </w:rPr>
  </w:style>
  <w:style w:type="character" w:styleId="Zwaar">
    <w:name w:val="Strong"/>
    <w:basedOn w:val="Standaardalinea-lettertype"/>
    <w:uiPriority w:val="22"/>
    <w:qFormat/>
    <w:rsid w:val="007D141B"/>
    <w:rPr>
      <w:b/>
      <w:bCs/>
    </w:rPr>
  </w:style>
  <w:style w:type="paragraph" w:styleId="Kopvaninhoudsopgave">
    <w:name w:val="TOC Heading"/>
    <w:basedOn w:val="Kop1"/>
    <w:next w:val="Standaard"/>
    <w:uiPriority w:val="39"/>
    <w:unhideWhenUsed/>
    <w:qFormat/>
    <w:rsid w:val="00753D0A"/>
    <w:pPr>
      <w:spacing w:before="480" w:after="0" w:line="276" w:lineRule="auto"/>
      <w:outlineLvl w:val="9"/>
    </w:pPr>
    <w:rPr>
      <w:b/>
      <w:bCs/>
      <w:sz w:val="28"/>
      <w:szCs w:val="28"/>
      <w:lang w:val="nl-BE" w:eastAsia="nl-NL"/>
    </w:rPr>
  </w:style>
  <w:style w:type="paragraph" w:styleId="Inhopg1">
    <w:name w:val="toc 1"/>
    <w:basedOn w:val="Standaard"/>
    <w:next w:val="Standaard"/>
    <w:autoRedefine/>
    <w:uiPriority w:val="39"/>
    <w:unhideWhenUsed/>
    <w:rsid w:val="00A2153A"/>
    <w:pPr>
      <w:tabs>
        <w:tab w:val="right" w:leader="dot" w:pos="9208"/>
      </w:tabs>
      <w:spacing w:before="240" w:after="120"/>
      <w:jc w:val="both"/>
    </w:pPr>
    <w:rPr>
      <w:rFonts w:asciiTheme="minorHAnsi" w:hAnsiTheme="minorHAnsi"/>
      <w:b/>
      <w:bCs/>
      <w:sz w:val="20"/>
      <w:szCs w:val="20"/>
    </w:rPr>
  </w:style>
  <w:style w:type="paragraph" w:styleId="Inhopg2">
    <w:name w:val="toc 2"/>
    <w:basedOn w:val="Standaard"/>
    <w:next w:val="Standaard"/>
    <w:autoRedefine/>
    <w:uiPriority w:val="39"/>
    <w:unhideWhenUsed/>
    <w:rsid w:val="00BA7F09"/>
    <w:pPr>
      <w:tabs>
        <w:tab w:val="left" w:pos="720"/>
        <w:tab w:val="right" w:leader="dot" w:pos="9208"/>
      </w:tabs>
      <w:spacing w:before="120" w:after="0"/>
      <w:ind w:left="240"/>
    </w:pPr>
    <w:rPr>
      <w:rFonts w:asciiTheme="minorHAnsi" w:hAnsiTheme="minorHAnsi"/>
      <w:i/>
      <w:iCs/>
      <w:sz w:val="20"/>
      <w:szCs w:val="20"/>
    </w:rPr>
  </w:style>
  <w:style w:type="paragraph" w:styleId="Inhopg3">
    <w:name w:val="toc 3"/>
    <w:basedOn w:val="Standaard"/>
    <w:next w:val="Standaard"/>
    <w:autoRedefine/>
    <w:uiPriority w:val="39"/>
    <w:unhideWhenUsed/>
    <w:rsid w:val="00753D0A"/>
    <w:pPr>
      <w:spacing w:after="0"/>
      <w:ind w:left="480"/>
    </w:pPr>
    <w:rPr>
      <w:rFonts w:asciiTheme="minorHAnsi" w:hAnsiTheme="minorHAnsi"/>
      <w:sz w:val="20"/>
      <w:szCs w:val="20"/>
    </w:rPr>
  </w:style>
  <w:style w:type="paragraph" w:styleId="Inhopg4">
    <w:name w:val="toc 4"/>
    <w:basedOn w:val="Standaard"/>
    <w:next w:val="Standaard"/>
    <w:autoRedefine/>
    <w:uiPriority w:val="39"/>
    <w:semiHidden/>
    <w:unhideWhenUsed/>
    <w:rsid w:val="00753D0A"/>
    <w:pPr>
      <w:spacing w:after="0"/>
      <w:ind w:left="720"/>
    </w:pPr>
    <w:rPr>
      <w:rFonts w:asciiTheme="minorHAnsi" w:hAnsiTheme="minorHAnsi"/>
      <w:sz w:val="20"/>
      <w:szCs w:val="20"/>
    </w:rPr>
  </w:style>
  <w:style w:type="paragraph" w:styleId="Inhopg5">
    <w:name w:val="toc 5"/>
    <w:basedOn w:val="Standaard"/>
    <w:next w:val="Standaard"/>
    <w:autoRedefine/>
    <w:uiPriority w:val="39"/>
    <w:semiHidden/>
    <w:unhideWhenUsed/>
    <w:rsid w:val="00753D0A"/>
    <w:pPr>
      <w:spacing w:after="0"/>
      <w:ind w:left="960"/>
    </w:pPr>
    <w:rPr>
      <w:rFonts w:asciiTheme="minorHAnsi" w:hAnsiTheme="minorHAnsi"/>
      <w:sz w:val="20"/>
      <w:szCs w:val="20"/>
    </w:rPr>
  </w:style>
  <w:style w:type="paragraph" w:styleId="Inhopg6">
    <w:name w:val="toc 6"/>
    <w:basedOn w:val="Standaard"/>
    <w:next w:val="Standaard"/>
    <w:autoRedefine/>
    <w:uiPriority w:val="39"/>
    <w:semiHidden/>
    <w:unhideWhenUsed/>
    <w:rsid w:val="00753D0A"/>
    <w:pPr>
      <w:spacing w:after="0"/>
      <w:ind w:left="1200"/>
    </w:pPr>
    <w:rPr>
      <w:rFonts w:asciiTheme="minorHAnsi" w:hAnsiTheme="minorHAnsi"/>
      <w:sz w:val="20"/>
      <w:szCs w:val="20"/>
    </w:rPr>
  </w:style>
  <w:style w:type="paragraph" w:styleId="Inhopg7">
    <w:name w:val="toc 7"/>
    <w:basedOn w:val="Standaard"/>
    <w:next w:val="Standaard"/>
    <w:autoRedefine/>
    <w:uiPriority w:val="39"/>
    <w:semiHidden/>
    <w:unhideWhenUsed/>
    <w:rsid w:val="00753D0A"/>
    <w:pPr>
      <w:spacing w:after="0"/>
      <w:ind w:left="1440"/>
    </w:pPr>
    <w:rPr>
      <w:rFonts w:asciiTheme="minorHAnsi" w:hAnsiTheme="minorHAnsi"/>
      <w:sz w:val="20"/>
      <w:szCs w:val="20"/>
    </w:rPr>
  </w:style>
  <w:style w:type="paragraph" w:styleId="Inhopg8">
    <w:name w:val="toc 8"/>
    <w:basedOn w:val="Standaard"/>
    <w:next w:val="Standaard"/>
    <w:autoRedefine/>
    <w:uiPriority w:val="39"/>
    <w:semiHidden/>
    <w:unhideWhenUsed/>
    <w:rsid w:val="00753D0A"/>
    <w:pPr>
      <w:spacing w:after="0"/>
      <w:ind w:left="1680"/>
    </w:pPr>
    <w:rPr>
      <w:rFonts w:asciiTheme="minorHAnsi" w:hAnsiTheme="minorHAnsi"/>
      <w:sz w:val="20"/>
      <w:szCs w:val="20"/>
    </w:rPr>
  </w:style>
  <w:style w:type="paragraph" w:styleId="Inhopg9">
    <w:name w:val="toc 9"/>
    <w:basedOn w:val="Standaard"/>
    <w:next w:val="Standaard"/>
    <w:autoRedefine/>
    <w:uiPriority w:val="39"/>
    <w:semiHidden/>
    <w:unhideWhenUsed/>
    <w:rsid w:val="00753D0A"/>
    <w:pPr>
      <w:spacing w:after="0"/>
      <w:ind w:left="1920"/>
    </w:pPr>
    <w:rPr>
      <w:rFonts w:asciiTheme="minorHAnsi" w:hAnsiTheme="minorHAnsi"/>
      <w:sz w:val="20"/>
      <w:szCs w:val="20"/>
    </w:rPr>
  </w:style>
  <w:style w:type="character" w:styleId="Subtielebenadrukking">
    <w:name w:val="Subtle Emphasis"/>
    <w:basedOn w:val="Standaardalinea-lettertype"/>
    <w:uiPriority w:val="19"/>
    <w:qFormat/>
    <w:rsid w:val="00BE6030"/>
    <w:rPr>
      <w:i/>
      <w:iCs/>
      <w:color w:val="404040" w:themeColor="text1" w:themeTint="BF"/>
    </w:rPr>
  </w:style>
  <w:style w:type="paragraph" w:styleId="Koptekst">
    <w:name w:val="header"/>
    <w:basedOn w:val="Standaard"/>
    <w:link w:val="KoptekstChar"/>
    <w:uiPriority w:val="99"/>
    <w:unhideWhenUsed/>
    <w:rsid w:val="006F2C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2C64"/>
    <w:rPr>
      <w:rFonts w:ascii="Times New Roman" w:eastAsia="Times New Roman" w:hAnsi="Times New Roman" w:cs="Times New Roman"/>
      <w:kern w:val="0"/>
      <w:lang w:val="fr-BE" w:eastAsia="ja-JP"/>
      <w14:ligatures w14:val="none"/>
    </w:rPr>
  </w:style>
  <w:style w:type="paragraph" w:styleId="Voettekst">
    <w:name w:val="footer"/>
    <w:basedOn w:val="Standaard"/>
    <w:link w:val="VoettekstChar"/>
    <w:uiPriority w:val="99"/>
    <w:unhideWhenUsed/>
    <w:rsid w:val="006F2C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2C64"/>
    <w:rPr>
      <w:rFonts w:ascii="Times New Roman" w:eastAsia="Times New Roman" w:hAnsi="Times New Roman" w:cs="Times New Roman"/>
      <w:kern w:val="0"/>
      <w:lang w:val="fr-BE" w:eastAsia="ja-JP"/>
      <w14:ligatures w14:val="none"/>
    </w:rPr>
  </w:style>
  <w:style w:type="character" w:styleId="Paginanummer">
    <w:name w:val="page number"/>
    <w:basedOn w:val="Standaardalinea-lettertype"/>
    <w:uiPriority w:val="99"/>
    <w:semiHidden/>
    <w:unhideWhenUsed/>
    <w:rsid w:val="006F2C64"/>
  </w:style>
  <w:style w:type="character" w:styleId="Verwijzingopmerking">
    <w:name w:val="annotation reference"/>
    <w:basedOn w:val="Standaardalinea-lettertype"/>
    <w:uiPriority w:val="99"/>
    <w:semiHidden/>
    <w:unhideWhenUsed/>
    <w:rsid w:val="00AD484A"/>
    <w:rPr>
      <w:sz w:val="16"/>
      <w:szCs w:val="16"/>
    </w:rPr>
  </w:style>
  <w:style w:type="paragraph" w:styleId="Tekstopmerking">
    <w:name w:val="annotation text"/>
    <w:basedOn w:val="Standaard"/>
    <w:link w:val="TekstopmerkingChar"/>
    <w:uiPriority w:val="99"/>
    <w:semiHidden/>
    <w:unhideWhenUsed/>
    <w:rsid w:val="00AD484A"/>
    <w:pPr>
      <w:widowControl w:val="0"/>
      <w:autoSpaceDE w:val="0"/>
      <w:autoSpaceDN w:val="0"/>
      <w:spacing w:after="0" w:line="240" w:lineRule="auto"/>
    </w:pPr>
    <w:rPr>
      <w:sz w:val="20"/>
      <w:szCs w:val="20"/>
      <w:lang w:val="en-US" w:eastAsia="en-US"/>
    </w:rPr>
  </w:style>
  <w:style w:type="character" w:customStyle="1" w:styleId="TekstopmerkingChar">
    <w:name w:val="Tekst opmerking Char"/>
    <w:basedOn w:val="Standaardalinea-lettertype"/>
    <w:link w:val="Tekstopmerking"/>
    <w:uiPriority w:val="99"/>
    <w:semiHidden/>
    <w:rsid w:val="00AD484A"/>
    <w:rPr>
      <w:rFonts w:ascii="Times New Roman" w:eastAsia="Times New Roman" w:hAnsi="Times New Roman" w:cs="Times New Roman"/>
      <w:kern w:val="0"/>
      <w:sz w:val="20"/>
      <w:szCs w:val="20"/>
      <w:lang w:val="en-US"/>
      <w14:ligatures w14:val="none"/>
    </w:rPr>
  </w:style>
  <w:style w:type="paragraph" w:styleId="HTML-voorafopgemaakt">
    <w:name w:val="HTML Preformatted"/>
    <w:basedOn w:val="Standaard"/>
    <w:link w:val="HTML-voorafopgemaaktChar"/>
    <w:uiPriority w:val="99"/>
    <w:semiHidden/>
    <w:unhideWhenUsed/>
    <w:rsid w:val="00460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nl-BE" w:eastAsia="nl-NL"/>
    </w:rPr>
  </w:style>
  <w:style w:type="character" w:customStyle="1" w:styleId="HTML-voorafopgemaaktChar">
    <w:name w:val="HTML - vooraf opgemaakt Char"/>
    <w:basedOn w:val="Standaardalinea-lettertype"/>
    <w:link w:val="HTML-voorafopgemaakt"/>
    <w:uiPriority w:val="99"/>
    <w:semiHidden/>
    <w:rsid w:val="00460A30"/>
    <w:rPr>
      <w:rFonts w:ascii="Courier New" w:eastAsia="Times New Roman" w:hAnsi="Courier New" w:cs="Courier New"/>
      <w:kern w:val="0"/>
      <w:sz w:val="20"/>
      <w:szCs w:val="20"/>
      <w:lang w:eastAsia="nl-NL"/>
      <w14:ligatures w14:val="none"/>
    </w:rPr>
  </w:style>
  <w:style w:type="character" w:styleId="HTMLCode">
    <w:name w:val="HTML Code"/>
    <w:basedOn w:val="Standaardalinea-lettertype"/>
    <w:uiPriority w:val="99"/>
    <w:semiHidden/>
    <w:unhideWhenUsed/>
    <w:rsid w:val="00460A30"/>
    <w:rPr>
      <w:rFonts w:ascii="Courier New" w:eastAsia="Times New Roman" w:hAnsi="Courier New" w:cs="Courier New"/>
      <w:sz w:val="20"/>
      <w:szCs w:val="20"/>
    </w:rPr>
  </w:style>
  <w:style w:type="character" w:styleId="GevolgdeHyperlink">
    <w:name w:val="FollowedHyperlink"/>
    <w:basedOn w:val="Standaardalinea-lettertype"/>
    <w:uiPriority w:val="99"/>
    <w:semiHidden/>
    <w:unhideWhenUsed/>
    <w:rsid w:val="00ED09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684A-03F4-E548-B68F-84DEB5896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14649</Words>
  <Characters>80574</Characters>
  <Application>Microsoft Office Word</Application>
  <DocSecurity>0</DocSecurity>
  <Lines>671</Lines>
  <Paragraphs>190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Marsala</dc:creator>
  <cp:keywords/>
  <dc:description/>
  <cp:lastModifiedBy>Matteo Marsala</cp:lastModifiedBy>
  <cp:revision>2</cp:revision>
  <dcterms:created xsi:type="dcterms:W3CDTF">2026-05-22T19:24:00Z</dcterms:created>
  <dcterms:modified xsi:type="dcterms:W3CDTF">2026-05-22T19:24:00Z</dcterms:modified>
</cp:coreProperties>
</file>