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BD32E5" w14:textId="77777777" w:rsidR="00BD18A3" w:rsidRDefault="00BD18A3" w:rsidP="00BD18A3">
      <w:pPr>
        <w:tabs>
          <w:tab w:val="left" w:pos="9280"/>
        </w:tabs>
        <w:ind w:left="158"/>
        <w:rPr>
          <w:rFonts w:ascii="Times New Roman"/>
        </w:rPr>
      </w:pPr>
      <w:r>
        <w:rPr>
          <w:noProof/>
          <w:lang w:eastAsia="nl-BE"/>
        </w:rPr>
        <mc:AlternateContent>
          <mc:Choice Requires="wpg">
            <w:drawing>
              <wp:anchor distT="0" distB="0" distL="0" distR="0" simplePos="0" relativeHeight="251662336" behindDoc="0" locked="0" layoutInCell="1" allowOverlap="1" wp14:anchorId="6BA0F9BF" wp14:editId="1999FEB6">
                <wp:simplePos x="0" y="0"/>
                <wp:positionH relativeFrom="page">
                  <wp:posOffset>6829425</wp:posOffset>
                </wp:positionH>
                <wp:positionV relativeFrom="page">
                  <wp:posOffset>778510</wp:posOffset>
                </wp:positionV>
                <wp:extent cx="371475" cy="1009015"/>
                <wp:effectExtent l="0" t="0" r="0" b="0"/>
                <wp:wrapNone/>
                <wp:docPr id="141298837" name="Group 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71475" cy="1009015"/>
                          <a:chOff x="0" y="0"/>
                          <a:chExt cx="371475" cy="1009015"/>
                        </a:xfrm>
                      </wpg:grpSpPr>
                      <wps:wsp>
                        <wps:cNvPr id="704657174" name="Graphic 4"/>
                        <wps:cNvSpPr/>
                        <wps:spPr>
                          <a:xfrm>
                            <a:off x="6350" y="6350"/>
                            <a:ext cx="358775" cy="996315"/>
                          </a:xfrm>
                          <a:custGeom>
                            <a:avLst/>
                            <a:gdLst/>
                            <a:ahLst/>
                            <a:cxnLst/>
                            <a:rect l="l" t="t" r="r" b="b"/>
                            <a:pathLst>
                              <a:path w="358775" h="996315">
                                <a:moveTo>
                                  <a:pt x="358775" y="0"/>
                                </a:moveTo>
                                <a:lnTo>
                                  <a:pt x="0" y="0"/>
                                </a:lnTo>
                                <a:lnTo>
                                  <a:pt x="358775" y="996314"/>
                                </a:lnTo>
                                <a:lnTo>
                                  <a:pt x="358775" y="0"/>
                                </a:lnTo>
                                <a:close/>
                              </a:path>
                            </a:pathLst>
                          </a:custGeom>
                          <a:solidFill>
                            <a:srgbClr val="FF6600"/>
                          </a:solidFill>
                        </wps:spPr>
                        <wps:bodyPr wrap="square" lIns="0" tIns="0" rIns="0" bIns="0" rtlCol="0">
                          <a:prstTxWarp prst="textNoShape">
                            <a:avLst/>
                          </a:prstTxWarp>
                          <a:noAutofit/>
                        </wps:bodyPr>
                      </wps:wsp>
                      <wps:wsp>
                        <wps:cNvPr id="1139173529" name="Graphic 5"/>
                        <wps:cNvSpPr/>
                        <wps:spPr>
                          <a:xfrm>
                            <a:off x="6350" y="6350"/>
                            <a:ext cx="358775" cy="996315"/>
                          </a:xfrm>
                          <a:custGeom>
                            <a:avLst/>
                            <a:gdLst/>
                            <a:ahLst/>
                            <a:cxnLst/>
                            <a:rect l="l" t="t" r="r" b="b"/>
                            <a:pathLst>
                              <a:path w="358775" h="996315">
                                <a:moveTo>
                                  <a:pt x="358775" y="0"/>
                                </a:moveTo>
                                <a:lnTo>
                                  <a:pt x="358775" y="996314"/>
                                </a:lnTo>
                                <a:lnTo>
                                  <a:pt x="0" y="0"/>
                                </a:lnTo>
                                <a:lnTo>
                                  <a:pt x="358775" y="0"/>
                                </a:lnTo>
                                <a:close/>
                              </a:path>
                            </a:pathLst>
                          </a:custGeom>
                          <a:ln w="12700">
                            <a:solidFill>
                              <a:srgbClr val="FF6600"/>
                            </a:solidFill>
                            <a:prstDash val="solid"/>
                          </a:ln>
                        </wps:spPr>
                        <wps:bodyPr wrap="square" lIns="0" tIns="0" rIns="0" bIns="0" rtlCol="0">
                          <a:prstTxWarp prst="textNoShape">
                            <a:avLst/>
                          </a:prstTxWarp>
                          <a:noAutofit/>
                        </wps:bodyPr>
                      </wps:wsp>
                    </wpg:wgp>
                  </a:graphicData>
                </a:graphic>
              </wp:anchor>
            </w:drawing>
          </mc:Choice>
          <mc:Fallback>
            <w:pict>
              <v:group w14:anchorId="3539F67E" id="Group 3" o:spid="_x0000_s1026" style="position:absolute;margin-left:537.75pt;margin-top:61.3pt;width:29.25pt;height:79.45pt;z-index:251662336;mso-wrap-distance-left:0;mso-wrap-distance-right:0;mso-position-horizontal-relative:page;mso-position-vertical-relative:page" coordsize="3714,1009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">
                <v:shape id="Graphic 4" o:spid="_x0000_s1027" style="position:absolute;left:63;top:63;width:3588;height:9963;visibility:visible;mso-wrap-style:square;v-text-anchor:top" coordsize="358775,996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" path="m358775,l,,358775,996314,358775,xe" fillcolor="#f60" stroked="f">
                  <v:path arrowok="t"/>
                </v:shape>
                <v:shape id="Graphic 5" o:spid="_x0000_s1028" style="position:absolute;left:63;top:63;width:3588;height:9963;visibility:visible;mso-wrap-style:square;v-text-anchor:top" coordsize="358775,99631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" path="m358775,r,996314l,,358775,xe" filled="f" strokecolor="#f60" strokeweight="1pt">
                  <v:path arrowok="t"/>
                </v:shape>
                <w10:wrap anchorx="page" anchory="page"/>
              </v:group>
            </w:pict>
          </mc:Fallback>
        </mc:AlternateContent>
      </w:r>
      <w:r>
        <w:rPr>
          <w:noProof/>
          <w:lang w:eastAsia="nl-BE"/>
        </w:rPr>
        <w:drawing>
          <wp:inline distT="0" distB="0" distL="0" distR="0" wp14:anchorId="43CD5C5E" wp14:editId="385D4A3B">
            <wp:extent cx="2045282" cy="719327"/>
            <wp:effectExtent l="0" t="0" r="0" b="0"/>
            <wp:docPr id="2142182963" name="Image 6" descr="Afbeelding met tekst, Lettertype, Elektrisch blauw, schermopname&#10;&#10;Automatisch gegenereerde beschrijving"/>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descr="Afbeelding met tekst, Lettertype, Elektrisch blauw, schermopname&#10;&#10;Automatisch gegenereerde beschrijving"/>
                    <pic:cNvPicPr/>
                  </pic:nvPicPr>
                  <pic:blipFill>
                    <a:blip r:embed="rId7" cstate="print"/>
                    <a:stretch>
                      <a:fillRect/>
                    </a:stretch>
                  </pic:blipFill>
                  <pic:spPr>
                    <a:xfrm>
                      <a:off x="0" y="0"/>
                      <a:ext cx="2045282" cy="719327"/>
                    </a:xfrm>
                    <a:prstGeom prst="rect">
                      <a:avLst/>
                    </a:prstGeom>
                  </pic:spPr>
                </pic:pic>
              </a:graphicData>
            </a:graphic>
          </wp:inline>
        </w:drawing>
      </w:r>
      <w:r>
        <w:rPr>
          <w:rFonts w:ascii="Times New Roman"/>
          <w:position w:val="10"/>
        </w:rPr>
        <w:tab/>
      </w:r>
    </w:p>
    <w:p w14:paraId="24566538" w14:textId="77777777" w:rsidR="00BD18A3" w:rsidRDefault="00BD18A3" w:rsidP="00BD18A3">
      <w:pPr>
        <w:pStyle w:val="Plattetekst"/>
        <w:rPr>
          <w:rFonts w:ascii="Times New Roman"/>
          <w:sz w:val="24"/>
        </w:rPr>
      </w:pPr>
    </w:p>
    <w:p w14:paraId="2175C9B9" w14:textId="77777777" w:rsidR="00BD18A3" w:rsidRDefault="00BD18A3" w:rsidP="00BD18A3">
      <w:pPr>
        <w:pStyle w:val="Plattetekst"/>
        <w:rPr>
          <w:rFonts w:ascii="Times New Roman"/>
          <w:sz w:val="24"/>
        </w:rPr>
      </w:pPr>
    </w:p>
    <w:p w14:paraId="3EC87069" w14:textId="77777777" w:rsidR="00BD18A3" w:rsidRDefault="00BD18A3" w:rsidP="00BD18A3">
      <w:pPr>
        <w:pStyle w:val="Plattetekst"/>
        <w:rPr>
          <w:rFonts w:ascii="Times New Roman"/>
          <w:sz w:val="24"/>
        </w:rPr>
      </w:pPr>
    </w:p>
    <w:p w14:paraId="2A8D3A72" w14:textId="77777777" w:rsidR="00BD18A3" w:rsidRDefault="00BD18A3" w:rsidP="00BD18A3">
      <w:pPr>
        <w:spacing w:line="240" w:lineRule="auto"/>
        <w:ind w:left="708"/>
        <w:rPr>
          <w:bCs/>
          <w:color w:val="FF6600"/>
          <w:sz w:val="24"/>
        </w:rPr>
      </w:pPr>
    </w:p>
    <w:p w14:paraId="0707FA24" w14:textId="77777777" w:rsidR="00BD18A3" w:rsidRDefault="00BD18A3" w:rsidP="00BD18A3">
      <w:pPr>
        <w:spacing w:line="240" w:lineRule="auto"/>
        <w:ind w:left="708"/>
        <w:rPr>
          <w:bCs/>
          <w:color w:val="FF6600"/>
          <w:sz w:val="24"/>
        </w:rPr>
      </w:pPr>
    </w:p>
    <w:p w14:paraId="5813D892" w14:textId="77777777" w:rsidR="00BD18A3" w:rsidRDefault="00BD18A3" w:rsidP="00BD18A3">
      <w:pPr>
        <w:spacing w:line="240" w:lineRule="auto"/>
        <w:ind w:left="708"/>
        <w:rPr>
          <w:bCs/>
          <w:color w:val="FF6600"/>
          <w:sz w:val="24"/>
        </w:rPr>
      </w:pPr>
    </w:p>
    <w:p w14:paraId="0C683A4D" w14:textId="77777777" w:rsidR="00BD18A3" w:rsidRDefault="00BD18A3" w:rsidP="00BD18A3">
      <w:pPr>
        <w:spacing w:line="240" w:lineRule="auto"/>
        <w:ind w:left="708"/>
        <w:rPr>
          <w:bCs/>
          <w:color w:val="FF6600"/>
          <w:sz w:val="24"/>
        </w:rPr>
      </w:pPr>
    </w:p>
    <w:p w14:paraId="1591469C" w14:textId="77777777" w:rsidR="00BD18A3" w:rsidRDefault="00BD18A3" w:rsidP="00BD18A3">
      <w:pPr>
        <w:spacing w:line="240" w:lineRule="auto"/>
        <w:ind w:left="708"/>
        <w:rPr>
          <w:bCs/>
          <w:color w:val="FF6600"/>
          <w:sz w:val="24"/>
        </w:rPr>
      </w:pPr>
    </w:p>
    <w:p w14:paraId="014E8FB7" w14:textId="77777777" w:rsidR="00BD18A3" w:rsidRDefault="00BD18A3" w:rsidP="00BD18A3">
      <w:pPr>
        <w:spacing w:line="240" w:lineRule="auto"/>
        <w:ind w:left="708"/>
        <w:rPr>
          <w:bCs/>
          <w:color w:val="FF6600"/>
          <w:sz w:val="24"/>
        </w:rPr>
      </w:pPr>
    </w:p>
    <w:p w14:paraId="3DEC0612" w14:textId="77777777" w:rsidR="00BD18A3" w:rsidRDefault="00BD18A3" w:rsidP="00BD18A3">
      <w:pPr>
        <w:spacing w:line="240" w:lineRule="auto"/>
        <w:ind w:left="708"/>
        <w:rPr>
          <w:bCs/>
          <w:color w:val="FF6600"/>
          <w:sz w:val="24"/>
        </w:rPr>
      </w:pPr>
    </w:p>
    <w:p w14:paraId="22B1A8EC" w14:textId="77777777" w:rsidR="00BD18A3" w:rsidRPr="008A3A14" w:rsidRDefault="00BD18A3" w:rsidP="00BD18A3">
      <w:pPr>
        <w:spacing w:line="240" w:lineRule="auto"/>
        <w:ind w:left="708"/>
        <w:rPr>
          <w:bCs/>
          <w:color w:val="FF6600"/>
          <w:sz w:val="24"/>
        </w:rPr>
      </w:pPr>
      <w:r w:rsidRPr="008A3A14">
        <w:rPr>
          <w:bCs/>
          <w:color w:val="FF6600"/>
          <w:sz w:val="24"/>
        </w:rPr>
        <w:t>Proef ingediend met het oog op het behalen van de graad van Master of Laws in de rechten</w:t>
      </w:r>
    </w:p>
    <w:p w14:paraId="14AA3683" w14:textId="77777777" w:rsidR="00BD18A3" w:rsidRDefault="00BD18A3" w:rsidP="00BD18A3">
      <w:pPr>
        <w:pStyle w:val="Titel"/>
        <w:ind w:left="0"/>
        <w:rPr>
          <w:color w:val="003399"/>
          <w:sz w:val="36"/>
          <w:szCs w:val="36"/>
        </w:rPr>
      </w:pPr>
    </w:p>
    <w:p w14:paraId="60F9EBB9" w14:textId="77777777" w:rsidR="00BD18A3" w:rsidRDefault="00BD18A3" w:rsidP="00BD18A3">
      <w:pPr>
        <w:pStyle w:val="Titel"/>
        <w:ind w:left="708"/>
        <w:rPr>
          <w:color w:val="003399"/>
          <w:sz w:val="36"/>
          <w:szCs w:val="36"/>
        </w:rPr>
      </w:pPr>
    </w:p>
    <w:p w14:paraId="6ED4F185" w14:textId="77777777" w:rsidR="00BD18A3" w:rsidRDefault="00BD18A3" w:rsidP="00BD18A3">
      <w:pPr>
        <w:pStyle w:val="Titel"/>
        <w:ind w:left="708"/>
        <w:rPr>
          <w:color w:val="003399"/>
          <w:sz w:val="36"/>
          <w:szCs w:val="36"/>
        </w:rPr>
      </w:pPr>
    </w:p>
    <w:p w14:paraId="7A4268EF" w14:textId="77777777" w:rsidR="00BD18A3" w:rsidRPr="00B23D02" w:rsidRDefault="00BD18A3" w:rsidP="00BD18A3">
      <w:pPr>
        <w:pStyle w:val="Titel"/>
        <w:ind w:left="708"/>
        <w:rPr>
          <w:color w:val="003399"/>
          <w:sz w:val="36"/>
          <w:szCs w:val="36"/>
        </w:rPr>
      </w:pPr>
      <w:r w:rsidRPr="00B23D02">
        <w:rPr>
          <w:color w:val="003399"/>
          <w:sz w:val="36"/>
          <w:szCs w:val="36"/>
        </w:rPr>
        <w:t>PARTNERRELATIES VAN BEPAALDE DUUR</w:t>
      </w:r>
    </w:p>
    <w:p w14:paraId="60C08F22" w14:textId="77777777" w:rsidR="00BD18A3" w:rsidRPr="00B23D02" w:rsidRDefault="00BD18A3" w:rsidP="00BD18A3">
      <w:pPr>
        <w:pStyle w:val="Titel"/>
        <w:ind w:left="0" w:firstLine="708"/>
        <w:rPr>
          <w:sz w:val="24"/>
          <w:szCs w:val="24"/>
        </w:rPr>
      </w:pPr>
      <w:r w:rsidRPr="00B23D02">
        <w:rPr>
          <w:color w:val="003399"/>
          <w:sz w:val="24"/>
          <w:szCs w:val="24"/>
        </w:rPr>
        <w:t>Flirten met de grenzen van het Belgisch recht</w:t>
      </w:r>
    </w:p>
    <w:p w14:paraId="5640045C" w14:textId="77777777" w:rsidR="00BD18A3" w:rsidRDefault="00BD18A3" w:rsidP="00BD18A3">
      <w:pPr>
        <w:pStyle w:val="Titel"/>
        <w:ind w:left="708"/>
        <w:rPr>
          <w:color w:val="003399"/>
          <w:sz w:val="44"/>
          <w:szCs w:val="44"/>
        </w:rPr>
      </w:pPr>
    </w:p>
    <w:p w14:paraId="70F424AC" w14:textId="77777777" w:rsidR="00BD18A3" w:rsidRPr="00B23D02" w:rsidRDefault="00BD18A3" w:rsidP="00BD18A3">
      <w:pPr>
        <w:pStyle w:val="Titel"/>
        <w:ind w:left="708"/>
        <w:rPr>
          <w:color w:val="003399"/>
          <w:sz w:val="36"/>
          <w:szCs w:val="36"/>
          <w:lang w:val="en-US"/>
        </w:rPr>
      </w:pPr>
      <w:r>
        <w:rPr>
          <w:color w:val="003399"/>
          <w:sz w:val="36"/>
          <w:szCs w:val="36"/>
          <w:lang w:val="en-US"/>
        </w:rPr>
        <w:t>FIXED-TERM PARTNER RELATIONSHIPS</w:t>
      </w:r>
      <w:r w:rsidRPr="00B23D02">
        <w:rPr>
          <w:color w:val="003399"/>
          <w:sz w:val="36"/>
          <w:szCs w:val="36"/>
          <w:lang w:val="en-US"/>
        </w:rPr>
        <w:t xml:space="preserve"> </w:t>
      </w:r>
    </w:p>
    <w:p w14:paraId="612FBFDC" w14:textId="77777777" w:rsidR="00BD18A3" w:rsidRPr="00B23D02" w:rsidRDefault="00BD18A3" w:rsidP="00BD18A3">
      <w:pPr>
        <w:pStyle w:val="Titel"/>
        <w:ind w:left="0" w:firstLine="708"/>
        <w:rPr>
          <w:sz w:val="24"/>
          <w:szCs w:val="24"/>
          <w:lang w:val="en-US"/>
        </w:rPr>
      </w:pPr>
      <w:r w:rsidRPr="00B23D02">
        <w:rPr>
          <w:color w:val="003399"/>
          <w:sz w:val="24"/>
          <w:szCs w:val="24"/>
          <w:lang w:val="en-US"/>
        </w:rPr>
        <w:t>Flirting with the boundaries of the Belgian law</w:t>
      </w:r>
    </w:p>
    <w:p w14:paraId="7FE051FB" w14:textId="77777777" w:rsidR="00BD18A3" w:rsidRPr="00B23D02" w:rsidRDefault="00BD18A3" w:rsidP="00BD18A3">
      <w:pPr>
        <w:spacing w:before="1" w:line="328" w:lineRule="auto"/>
        <w:ind w:left="708" w:right="5615"/>
        <w:jc w:val="left"/>
        <w:rPr>
          <w:b/>
          <w:color w:val="FF6600"/>
          <w:sz w:val="24"/>
          <w:lang w:val="en-US"/>
        </w:rPr>
      </w:pPr>
    </w:p>
    <w:p w14:paraId="5BB5FC13" w14:textId="77777777" w:rsidR="00BD18A3" w:rsidRPr="00B23D02" w:rsidRDefault="00BD18A3" w:rsidP="00BD18A3">
      <w:pPr>
        <w:spacing w:before="1" w:line="328" w:lineRule="auto"/>
        <w:ind w:left="708" w:right="5615"/>
        <w:jc w:val="left"/>
        <w:rPr>
          <w:b/>
          <w:color w:val="FF6600"/>
          <w:sz w:val="24"/>
          <w:lang w:val="en-US"/>
        </w:rPr>
      </w:pPr>
    </w:p>
    <w:p w14:paraId="6F944256" w14:textId="77777777" w:rsidR="00BD18A3" w:rsidRPr="00B23D02" w:rsidRDefault="00BD18A3" w:rsidP="00BD18A3">
      <w:pPr>
        <w:spacing w:before="1" w:line="328" w:lineRule="auto"/>
        <w:ind w:left="708" w:right="5615"/>
        <w:jc w:val="left"/>
        <w:rPr>
          <w:b/>
          <w:color w:val="FF6600"/>
          <w:sz w:val="24"/>
          <w:lang w:val="en-US"/>
        </w:rPr>
      </w:pPr>
    </w:p>
    <w:p w14:paraId="25C1CA7D" w14:textId="77777777" w:rsidR="00BD18A3" w:rsidRPr="008B566B" w:rsidRDefault="00BD18A3" w:rsidP="00BD18A3">
      <w:pPr>
        <w:spacing w:before="1" w:line="328" w:lineRule="auto"/>
        <w:ind w:left="708" w:right="5615"/>
        <w:jc w:val="left"/>
        <w:rPr>
          <w:b/>
          <w:sz w:val="24"/>
        </w:rPr>
      </w:pPr>
      <w:r w:rsidRPr="008B566B">
        <w:rPr>
          <w:b/>
          <w:color w:val="FF6600"/>
          <w:sz w:val="24"/>
        </w:rPr>
        <w:t>Jarne</w:t>
      </w:r>
      <w:r w:rsidRPr="008B566B">
        <w:rPr>
          <w:b/>
          <w:color w:val="FF6600"/>
          <w:spacing w:val="-21"/>
          <w:sz w:val="24"/>
        </w:rPr>
        <w:t xml:space="preserve"> </w:t>
      </w:r>
      <w:r w:rsidRPr="008B566B">
        <w:rPr>
          <w:b/>
          <w:color w:val="FF6600"/>
          <w:sz w:val="24"/>
        </w:rPr>
        <w:t xml:space="preserve">Thiels </w:t>
      </w:r>
      <w:r w:rsidRPr="008B566B">
        <w:rPr>
          <w:b/>
          <w:color w:val="FF6600"/>
          <w:spacing w:val="-2"/>
          <w:sz w:val="24"/>
        </w:rPr>
        <w:t>0568576</w:t>
      </w:r>
    </w:p>
    <w:p w14:paraId="1681F0F5" w14:textId="77777777" w:rsidR="00BD18A3" w:rsidRDefault="00BD18A3" w:rsidP="00BD18A3">
      <w:pPr>
        <w:ind w:firstLine="708"/>
        <w:rPr>
          <w:b/>
          <w:color w:val="003399"/>
          <w:spacing w:val="-4"/>
          <w:sz w:val="24"/>
        </w:rPr>
      </w:pPr>
      <w:r w:rsidRPr="008B566B">
        <w:rPr>
          <w:b/>
          <w:color w:val="003399"/>
          <w:sz w:val="24"/>
        </w:rPr>
        <w:t>Academiejaar</w:t>
      </w:r>
      <w:r w:rsidRPr="008B566B">
        <w:rPr>
          <w:b/>
          <w:color w:val="003399"/>
          <w:spacing w:val="-1"/>
          <w:sz w:val="24"/>
        </w:rPr>
        <w:t xml:space="preserve"> </w:t>
      </w:r>
      <w:r w:rsidRPr="008B566B">
        <w:rPr>
          <w:b/>
          <w:color w:val="003399"/>
          <w:sz w:val="24"/>
        </w:rPr>
        <w:t>2023-</w:t>
      </w:r>
      <w:r w:rsidRPr="008B566B">
        <w:rPr>
          <w:b/>
          <w:color w:val="003399"/>
          <w:spacing w:val="-4"/>
          <w:sz w:val="24"/>
        </w:rPr>
        <w:t>2024</w:t>
      </w:r>
    </w:p>
    <w:p w14:paraId="1205AECA" w14:textId="77777777" w:rsidR="00BD18A3" w:rsidRDefault="00BD18A3" w:rsidP="00BD18A3">
      <w:pPr>
        <w:rPr>
          <w:b/>
          <w:color w:val="003399"/>
          <w:spacing w:val="-4"/>
          <w:sz w:val="24"/>
        </w:rPr>
      </w:pPr>
    </w:p>
    <w:p w14:paraId="7F0F2F4E" w14:textId="77777777" w:rsidR="00BD18A3" w:rsidRDefault="00BD18A3" w:rsidP="00BD18A3">
      <w:pPr>
        <w:rPr>
          <w:b/>
          <w:color w:val="003399"/>
          <w:spacing w:val="-4"/>
          <w:sz w:val="24"/>
        </w:rPr>
      </w:pPr>
    </w:p>
    <w:p w14:paraId="0496BED2" w14:textId="77777777" w:rsidR="00BD18A3" w:rsidRPr="008B566B" w:rsidRDefault="00BD18A3" w:rsidP="00BD18A3">
      <w:pPr>
        <w:rPr>
          <w:b/>
          <w:color w:val="003399"/>
          <w:spacing w:val="-4"/>
          <w:sz w:val="24"/>
        </w:rPr>
      </w:pPr>
    </w:p>
    <w:p w14:paraId="26233EF4" w14:textId="77777777" w:rsidR="00BD18A3" w:rsidRPr="00146E73" w:rsidRDefault="00BD18A3" w:rsidP="00BD18A3">
      <w:pPr>
        <w:ind w:firstLine="708"/>
        <w:rPr>
          <w:bCs/>
          <w:color w:val="FF6600"/>
          <w:sz w:val="24"/>
        </w:rPr>
      </w:pPr>
      <w:r w:rsidRPr="00146E73">
        <w:rPr>
          <w:bCs/>
          <w:color w:val="FF6600"/>
          <w:sz w:val="24"/>
        </w:rPr>
        <w:t xml:space="preserve">Promotor: </w:t>
      </w:r>
      <w:r>
        <w:rPr>
          <w:bCs/>
          <w:color w:val="FF6600"/>
          <w:sz w:val="24"/>
        </w:rPr>
        <w:t xml:space="preserve">Prof. Dr. </w:t>
      </w:r>
      <w:r w:rsidRPr="00146E73">
        <w:rPr>
          <w:bCs/>
          <w:color w:val="FF6600"/>
          <w:sz w:val="24"/>
        </w:rPr>
        <w:t>Elisabeth ALOFS</w:t>
      </w:r>
    </w:p>
    <w:p w14:paraId="3132E71D" w14:textId="77777777" w:rsidR="00BD18A3" w:rsidRPr="00146E73" w:rsidRDefault="00BD18A3" w:rsidP="00BD18A3">
      <w:pPr>
        <w:ind w:firstLine="708"/>
        <w:rPr>
          <w:bCs/>
          <w:color w:val="FF6600"/>
          <w:sz w:val="24"/>
        </w:rPr>
      </w:pPr>
      <w:r w:rsidRPr="00146E73">
        <w:rPr>
          <w:bCs/>
          <w:color w:val="FF6600"/>
          <w:sz w:val="24"/>
        </w:rPr>
        <w:t xml:space="preserve">Jury: </w:t>
      </w:r>
      <w:r>
        <w:rPr>
          <w:bCs/>
          <w:color w:val="FF6600"/>
          <w:sz w:val="24"/>
        </w:rPr>
        <w:t xml:space="preserve">Mevr. </w:t>
      </w:r>
      <w:r w:rsidRPr="00146E73">
        <w:rPr>
          <w:bCs/>
          <w:color w:val="FF6600"/>
          <w:sz w:val="24"/>
        </w:rPr>
        <w:t>Fleur GOISTER</w:t>
      </w:r>
    </w:p>
    <w:p w14:paraId="3D7A5AD2" w14:textId="1B4DF21B" w:rsidR="00BD18A3" w:rsidRPr="00BD18A3" w:rsidRDefault="00BD18A3" w:rsidP="00BD18A3">
      <w:pPr>
        <w:ind w:firstLine="708"/>
        <w:rPr>
          <w:bCs/>
          <w:color w:val="003399"/>
          <w:spacing w:val="-4"/>
          <w:sz w:val="24"/>
        </w:rPr>
      </w:pPr>
      <w:r w:rsidRPr="00146E73">
        <w:rPr>
          <w:bCs/>
          <w:color w:val="003399"/>
          <w:spacing w:val="-4"/>
          <w:sz w:val="24"/>
        </w:rPr>
        <w:t>Recht &amp; Criminologie</w:t>
      </w:r>
    </w:p>
    <w:sdt>
      <w:sdtPr>
        <w:rPr>
          <w:rFonts w:eastAsiaTheme="minorHAnsi" w:cstheme="minorBidi"/>
          <w:bCs w:val="0"/>
          <w:color w:val="auto"/>
          <w:sz w:val="20"/>
          <w:szCs w:val="24"/>
          <w:lang w:val="nl-NL" w:eastAsia="en-US"/>
        </w:rPr>
        <w:id w:val="496856910"/>
        <w:docPartObj>
          <w:docPartGallery w:val="Table of Contents"/>
          <w:docPartUnique/>
        </w:docPartObj>
      </w:sdtPr>
      <w:sdtEndPr>
        <w:rPr>
          <w:b/>
          <w:noProof/>
          <w:lang w:val="nl-BE"/>
        </w:rPr>
      </w:sdtEndPr>
      <w:sdtContent>
        <w:p w14:paraId="19FAF3CC" w14:textId="77777777" w:rsidR="00BD18A3" w:rsidRDefault="00BD18A3" w:rsidP="00BD18A3">
          <w:pPr>
            <w:pStyle w:val="Kopvaninhoudsopgave"/>
            <w:rPr>
              <w:rFonts w:eastAsiaTheme="minorHAnsi" w:cstheme="minorBidi"/>
              <w:bCs w:val="0"/>
              <w:color w:val="auto"/>
              <w:sz w:val="20"/>
              <w:szCs w:val="24"/>
              <w:lang w:val="nl-NL" w:eastAsia="en-US"/>
            </w:rPr>
          </w:pPr>
        </w:p>
        <w:p w14:paraId="4B6793DA" w14:textId="77777777" w:rsidR="00BD18A3" w:rsidRPr="00FB4828" w:rsidRDefault="00BD18A3" w:rsidP="00BD18A3">
          <w:pPr>
            <w:pStyle w:val="Kopvaninhoudsopgave"/>
            <w:rPr>
              <w:b/>
              <w:bCs w:val="0"/>
              <w:sz w:val="24"/>
              <w:szCs w:val="24"/>
              <w:lang w:val="nl-NL"/>
            </w:rPr>
          </w:pPr>
          <w:r w:rsidRPr="00FB4828">
            <w:rPr>
              <w:b/>
              <w:bCs w:val="0"/>
              <w:sz w:val="24"/>
              <w:szCs w:val="24"/>
              <w:lang w:val="nl-NL"/>
            </w:rPr>
            <w:t>Inhoudsopgave</w:t>
          </w:r>
        </w:p>
        <w:p w14:paraId="5F9FFB9E"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r>
            <w:rPr>
              <w:b w:val="0"/>
              <w:bCs w:val="0"/>
            </w:rPr>
            <w:fldChar w:fldCharType="begin"/>
          </w:r>
          <w:r>
            <w:rPr>
              <w:b w:val="0"/>
              <w:bCs w:val="0"/>
            </w:rPr>
            <w:instrText xml:space="preserve"> TOC \o "1-5" \h \z \u </w:instrText>
          </w:r>
          <w:r>
            <w:rPr>
              <w:b w:val="0"/>
              <w:bCs w:val="0"/>
            </w:rPr>
            <w:fldChar w:fldCharType="separate"/>
          </w:r>
          <w:hyperlink w:anchor="_Toc167990434" w:history="1">
            <w:r w:rsidRPr="008C64ED">
              <w:rPr>
                <w:rStyle w:val="Hyperlink"/>
                <w:noProof/>
              </w:rPr>
              <w:t>Dankwoord</w:t>
            </w:r>
            <w:r>
              <w:rPr>
                <w:noProof/>
                <w:webHidden/>
              </w:rPr>
              <w:tab/>
            </w:r>
            <w:r>
              <w:rPr>
                <w:noProof/>
                <w:webHidden/>
              </w:rPr>
              <w:fldChar w:fldCharType="begin"/>
            </w:r>
            <w:r>
              <w:rPr>
                <w:noProof/>
                <w:webHidden/>
              </w:rPr>
              <w:instrText xml:space="preserve"> PAGEREF _Toc167990434 \h </w:instrText>
            </w:r>
            <w:r>
              <w:rPr>
                <w:noProof/>
                <w:webHidden/>
              </w:rPr>
            </w:r>
            <w:r>
              <w:rPr>
                <w:noProof/>
                <w:webHidden/>
              </w:rPr>
              <w:fldChar w:fldCharType="separate"/>
            </w:r>
            <w:r>
              <w:rPr>
                <w:noProof/>
                <w:webHidden/>
              </w:rPr>
              <w:t>7</w:t>
            </w:r>
            <w:r>
              <w:rPr>
                <w:noProof/>
                <w:webHidden/>
              </w:rPr>
              <w:fldChar w:fldCharType="end"/>
            </w:r>
          </w:hyperlink>
        </w:p>
        <w:p w14:paraId="1784CC0B"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435" w:history="1">
            <w:r w:rsidRPr="008C64ED">
              <w:rPr>
                <w:rStyle w:val="Hyperlink"/>
                <w:noProof/>
              </w:rPr>
              <w:t>Inleiding</w:t>
            </w:r>
            <w:r>
              <w:rPr>
                <w:noProof/>
                <w:webHidden/>
              </w:rPr>
              <w:tab/>
            </w:r>
            <w:r>
              <w:rPr>
                <w:noProof/>
                <w:webHidden/>
              </w:rPr>
              <w:fldChar w:fldCharType="begin"/>
            </w:r>
            <w:r>
              <w:rPr>
                <w:noProof/>
                <w:webHidden/>
              </w:rPr>
              <w:instrText xml:space="preserve"> PAGEREF _Toc167990435 \h </w:instrText>
            </w:r>
            <w:r>
              <w:rPr>
                <w:noProof/>
                <w:webHidden/>
              </w:rPr>
            </w:r>
            <w:r>
              <w:rPr>
                <w:noProof/>
                <w:webHidden/>
              </w:rPr>
              <w:fldChar w:fldCharType="separate"/>
            </w:r>
            <w:r>
              <w:rPr>
                <w:noProof/>
                <w:webHidden/>
              </w:rPr>
              <w:t>8</w:t>
            </w:r>
            <w:r>
              <w:rPr>
                <w:noProof/>
                <w:webHidden/>
              </w:rPr>
              <w:fldChar w:fldCharType="end"/>
            </w:r>
          </w:hyperlink>
        </w:p>
        <w:p w14:paraId="5C948E32" w14:textId="77777777" w:rsidR="00BD18A3" w:rsidRDefault="00BD18A3" w:rsidP="00BD18A3">
          <w:pPr>
            <w:pStyle w:val="Inhopg2"/>
            <w:tabs>
              <w:tab w:val="left" w:pos="600"/>
              <w:tab w:val="right" w:leader="dot" w:pos="9062"/>
            </w:tabs>
            <w:rPr>
              <w:rFonts w:eastAsiaTheme="minorEastAsia" w:cstheme="minorBidi"/>
              <w:i w:val="0"/>
              <w:iCs w:val="0"/>
              <w:noProof/>
              <w:kern w:val="2"/>
              <w:sz w:val="24"/>
              <w:szCs w:val="24"/>
              <w:lang w:eastAsia="nl-NL"/>
              <w14:ligatures w14:val="standardContextual"/>
            </w:rPr>
          </w:pPr>
          <w:hyperlink w:anchor="_Toc167990436" w:history="1">
            <w:r w:rsidRPr="008C64ED">
              <w:rPr>
                <w:rStyle w:val="Hyperlink"/>
                <w:noProof/>
              </w:rPr>
              <w:t>1.</w:t>
            </w:r>
            <w:r>
              <w:rPr>
                <w:rFonts w:eastAsiaTheme="minorEastAsia" w:cstheme="minorBidi"/>
                <w:i w:val="0"/>
                <w:iCs w:val="0"/>
                <w:noProof/>
                <w:kern w:val="2"/>
                <w:sz w:val="24"/>
                <w:szCs w:val="24"/>
                <w:lang w:eastAsia="nl-NL"/>
                <w14:ligatures w14:val="standardContextual"/>
              </w:rPr>
              <w:tab/>
            </w:r>
            <w:r w:rsidRPr="008C64ED">
              <w:rPr>
                <w:rStyle w:val="Hyperlink"/>
                <w:noProof/>
              </w:rPr>
              <w:t>Probleemstelling</w:t>
            </w:r>
            <w:r>
              <w:rPr>
                <w:noProof/>
                <w:webHidden/>
              </w:rPr>
              <w:tab/>
            </w:r>
            <w:r>
              <w:rPr>
                <w:noProof/>
                <w:webHidden/>
              </w:rPr>
              <w:fldChar w:fldCharType="begin"/>
            </w:r>
            <w:r>
              <w:rPr>
                <w:noProof/>
                <w:webHidden/>
              </w:rPr>
              <w:instrText xml:space="preserve"> PAGEREF _Toc167990436 \h </w:instrText>
            </w:r>
            <w:r>
              <w:rPr>
                <w:noProof/>
                <w:webHidden/>
              </w:rPr>
            </w:r>
            <w:r>
              <w:rPr>
                <w:noProof/>
                <w:webHidden/>
              </w:rPr>
              <w:fldChar w:fldCharType="separate"/>
            </w:r>
            <w:r>
              <w:rPr>
                <w:noProof/>
                <w:webHidden/>
              </w:rPr>
              <w:t>8</w:t>
            </w:r>
            <w:r>
              <w:rPr>
                <w:noProof/>
                <w:webHidden/>
              </w:rPr>
              <w:fldChar w:fldCharType="end"/>
            </w:r>
          </w:hyperlink>
        </w:p>
        <w:p w14:paraId="4A2009F3" w14:textId="77777777" w:rsidR="00BD18A3" w:rsidRDefault="00BD18A3" w:rsidP="00BD18A3">
          <w:pPr>
            <w:pStyle w:val="Inhopg2"/>
            <w:tabs>
              <w:tab w:val="left" w:pos="600"/>
              <w:tab w:val="right" w:leader="dot" w:pos="9062"/>
            </w:tabs>
            <w:rPr>
              <w:rFonts w:eastAsiaTheme="minorEastAsia" w:cstheme="minorBidi"/>
              <w:i w:val="0"/>
              <w:iCs w:val="0"/>
              <w:noProof/>
              <w:kern w:val="2"/>
              <w:sz w:val="24"/>
              <w:szCs w:val="24"/>
              <w:lang w:eastAsia="nl-NL"/>
              <w14:ligatures w14:val="standardContextual"/>
            </w:rPr>
          </w:pPr>
          <w:hyperlink w:anchor="_Toc167990437" w:history="1">
            <w:r w:rsidRPr="008C64ED">
              <w:rPr>
                <w:rStyle w:val="Hyperlink"/>
                <w:noProof/>
                <w:lang w:val="nl-NL"/>
              </w:rPr>
              <w:t>2.</w:t>
            </w:r>
            <w:r>
              <w:rPr>
                <w:rFonts w:eastAsiaTheme="minorEastAsia" w:cstheme="minorBidi"/>
                <w:i w:val="0"/>
                <w:iCs w:val="0"/>
                <w:noProof/>
                <w:kern w:val="2"/>
                <w:sz w:val="24"/>
                <w:szCs w:val="24"/>
                <w:lang w:eastAsia="nl-NL"/>
                <w14:ligatures w14:val="standardContextual"/>
              </w:rPr>
              <w:tab/>
            </w:r>
            <w:r w:rsidRPr="008C64ED">
              <w:rPr>
                <w:rStyle w:val="Hyperlink"/>
                <w:noProof/>
                <w:lang w:val="nl-NL"/>
              </w:rPr>
              <w:t>Pertinentie</w:t>
            </w:r>
            <w:r>
              <w:rPr>
                <w:noProof/>
                <w:webHidden/>
              </w:rPr>
              <w:tab/>
            </w:r>
            <w:r>
              <w:rPr>
                <w:noProof/>
                <w:webHidden/>
              </w:rPr>
              <w:fldChar w:fldCharType="begin"/>
            </w:r>
            <w:r>
              <w:rPr>
                <w:noProof/>
                <w:webHidden/>
              </w:rPr>
              <w:instrText xml:space="preserve"> PAGEREF _Toc167990437 \h </w:instrText>
            </w:r>
            <w:r>
              <w:rPr>
                <w:noProof/>
                <w:webHidden/>
              </w:rPr>
            </w:r>
            <w:r>
              <w:rPr>
                <w:noProof/>
                <w:webHidden/>
              </w:rPr>
              <w:fldChar w:fldCharType="separate"/>
            </w:r>
            <w:r>
              <w:rPr>
                <w:noProof/>
                <w:webHidden/>
              </w:rPr>
              <w:t>8</w:t>
            </w:r>
            <w:r>
              <w:rPr>
                <w:noProof/>
                <w:webHidden/>
              </w:rPr>
              <w:fldChar w:fldCharType="end"/>
            </w:r>
          </w:hyperlink>
        </w:p>
        <w:p w14:paraId="4A2A9DCC" w14:textId="77777777" w:rsidR="00BD18A3" w:rsidRDefault="00BD18A3" w:rsidP="00BD18A3">
          <w:pPr>
            <w:pStyle w:val="Inhopg2"/>
            <w:tabs>
              <w:tab w:val="left" w:pos="600"/>
              <w:tab w:val="right" w:leader="dot" w:pos="9062"/>
            </w:tabs>
            <w:rPr>
              <w:rFonts w:eastAsiaTheme="minorEastAsia" w:cstheme="minorBidi"/>
              <w:i w:val="0"/>
              <w:iCs w:val="0"/>
              <w:noProof/>
              <w:kern w:val="2"/>
              <w:sz w:val="24"/>
              <w:szCs w:val="24"/>
              <w:lang w:eastAsia="nl-NL"/>
              <w14:ligatures w14:val="standardContextual"/>
            </w:rPr>
          </w:pPr>
          <w:hyperlink w:anchor="_Toc167990438" w:history="1">
            <w:r w:rsidRPr="008C64ED">
              <w:rPr>
                <w:rStyle w:val="Hyperlink"/>
                <w:noProof/>
              </w:rPr>
              <w:t>3.</w:t>
            </w:r>
            <w:r>
              <w:rPr>
                <w:rFonts w:eastAsiaTheme="minorEastAsia" w:cstheme="minorBidi"/>
                <w:i w:val="0"/>
                <w:iCs w:val="0"/>
                <w:noProof/>
                <w:kern w:val="2"/>
                <w:sz w:val="24"/>
                <w:szCs w:val="24"/>
                <w:lang w:eastAsia="nl-NL"/>
                <w14:ligatures w14:val="standardContextual"/>
              </w:rPr>
              <w:tab/>
            </w:r>
            <w:r w:rsidRPr="008C64ED">
              <w:rPr>
                <w:rStyle w:val="Hyperlink"/>
                <w:noProof/>
              </w:rPr>
              <w:t>Afbakening</w:t>
            </w:r>
            <w:r>
              <w:rPr>
                <w:noProof/>
                <w:webHidden/>
              </w:rPr>
              <w:tab/>
            </w:r>
            <w:r>
              <w:rPr>
                <w:noProof/>
                <w:webHidden/>
              </w:rPr>
              <w:fldChar w:fldCharType="begin"/>
            </w:r>
            <w:r>
              <w:rPr>
                <w:noProof/>
                <w:webHidden/>
              </w:rPr>
              <w:instrText xml:space="preserve"> PAGEREF _Toc167990438 \h </w:instrText>
            </w:r>
            <w:r>
              <w:rPr>
                <w:noProof/>
                <w:webHidden/>
              </w:rPr>
            </w:r>
            <w:r>
              <w:rPr>
                <w:noProof/>
                <w:webHidden/>
              </w:rPr>
              <w:fldChar w:fldCharType="separate"/>
            </w:r>
            <w:r>
              <w:rPr>
                <w:noProof/>
                <w:webHidden/>
              </w:rPr>
              <w:t>10</w:t>
            </w:r>
            <w:r>
              <w:rPr>
                <w:noProof/>
                <w:webHidden/>
              </w:rPr>
              <w:fldChar w:fldCharType="end"/>
            </w:r>
          </w:hyperlink>
        </w:p>
        <w:p w14:paraId="5FF471E0" w14:textId="77777777" w:rsidR="00BD18A3" w:rsidRDefault="00BD18A3" w:rsidP="00BD18A3">
          <w:pPr>
            <w:pStyle w:val="Inhopg2"/>
            <w:tabs>
              <w:tab w:val="left" w:pos="600"/>
              <w:tab w:val="right" w:leader="dot" w:pos="9062"/>
            </w:tabs>
            <w:rPr>
              <w:rFonts w:eastAsiaTheme="minorEastAsia" w:cstheme="minorBidi"/>
              <w:i w:val="0"/>
              <w:iCs w:val="0"/>
              <w:noProof/>
              <w:kern w:val="2"/>
              <w:sz w:val="24"/>
              <w:szCs w:val="24"/>
              <w:lang w:eastAsia="nl-NL"/>
              <w14:ligatures w14:val="standardContextual"/>
            </w:rPr>
          </w:pPr>
          <w:hyperlink w:anchor="_Toc167990439" w:history="1">
            <w:r w:rsidRPr="008C64ED">
              <w:rPr>
                <w:rStyle w:val="Hyperlink"/>
                <w:noProof/>
              </w:rPr>
              <w:t>4.</w:t>
            </w:r>
            <w:r>
              <w:rPr>
                <w:rFonts w:eastAsiaTheme="minorEastAsia" w:cstheme="minorBidi"/>
                <w:i w:val="0"/>
                <w:iCs w:val="0"/>
                <w:noProof/>
                <w:kern w:val="2"/>
                <w:sz w:val="24"/>
                <w:szCs w:val="24"/>
                <w:lang w:eastAsia="nl-NL"/>
                <w14:ligatures w14:val="standardContextual"/>
              </w:rPr>
              <w:tab/>
            </w:r>
            <w:r w:rsidRPr="008C64ED">
              <w:rPr>
                <w:rStyle w:val="Hyperlink"/>
                <w:noProof/>
              </w:rPr>
              <w:t>Structuur</w:t>
            </w:r>
            <w:r>
              <w:rPr>
                <w:noProof/>
                <w:webHidden/>
              </w:rPr>
              <w:tab/>
            </w:r>
            <w:r>
              <w:rPr>
                <w:noProof/>
                <w:webHidden/>
              </w:rPr>
              <w:fldChar w:fldCharType="begin"/>
            </w:r>
            <w:r>
              <w:rPr>
                <w:noProof/>
                <w:webHidden/>
              </w:rPr>
              <w:instrText xml:space="preserve"> PAGEREF _Toc167990439 \h </w:instrText>
            </w:r>
            <w:r>
              <w:rPr>
                <w:noProof/>
                <w:webHidden/>
              </w:rPr>
            </w:r>
            <w:r>
              <w:rPr>
                <w:noProof/>
                <w:webHidden/>
              </w:rPr>
              <w:fldChar w:fldCharType="separate"/>
            </w:r>
            <w:r>
              <w:rPr>
                <w:noProof/>
                <w:webHidden/>
              </w:rPr>
              <w:t>12</w:t>
            </w:r>
            <w:r>
              <w:rPr>
                <w:noProof/>
                <w:webHidden/>
              </w:rPr>
              <w:fldChar w:fldCharType="end"/>
            </w:r>
          </w:hyperlink>
        </w:p>
        <w:p w14:paraId="3FC18540"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440" w:history="1">
            <w:r w:rsidRPr="008C64ED">
              <w:rPr>
                <w:rStyle w:val="Hyperlink"/>
                <w:noProof/>
                <w:lang w:val="nl-NL"/>
              </w:rPr>
              <w:t xml:space="preserve">DEEL I: Relatievormen </w:t>
            </w:r>
            <w:r w:rsidRPr="008C64ED">
              <w:rPr>
                <w:rStyle w:val="Hyperlink"/>
                <w:i/>
                <w:iCs/>
                <w:noProof/>
                <w:lang w:val="nl-NL"/>
              </w:rPr>
              <w:t>de lege lata</w:t>
            </w:r>
            <w:r>
              <w:rPr>
                <w:noProof/>
                <w:webHidden/>
              </w:rPr>
              <w:tab/>
            </w:r>
            <w:r>
              <w:rPr>
                <w:noProof/>
                <w:webHidden/>
              </w:rPr>
              <w:fldChar w:fldCharType="begin"/>
            </w:r>
            <w:r>
              <w:rPr>
                <w:noProof/>
                <w:webHidden/>
              </w:rPr>
              <w:instrText xml:space="preserve"> PAGEREF _Toc167990440 \h </w:instrText>
            </w:r>
            <w:r>
              <w:rPr>
                <w:noProof/>
                <w:webHidden/>
              </w:rPr>
            </w:r>
            <w:r>
              <w:rPr>
                <w:noProof/>
                <w:webHidden/>
              </w:rPr>
              <w:fldChar w:fldCharType="separate"/>
            </w:r>
            <w:r>
              <w:rPr>
                <w:noProof/>
                <w:webHidden/>
              </w:rPr>
              <w:t>14</w:t>
            </w:r>
            <w:r>
              <w:rPr>
                <w:noProof/>
                <w:webHidden/>
              </w:rPr>
              <w:fldChar w:fldCharType="end"/>
            </w:r>
          </w:hyperlink>
        </w:p>
        <w:p w14:paraId="7E21D125"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41" w:history="1">
            <w:r w:rsidRPr="008C64ED">
              <w:rPr>
                <w:rStyle w:val="Hyperlink"/>
                <w:noProof/>
                <w:lang w:val="nl-NL"/>
              </w:rPr>
              <w:t>Hoofdstuk 1. Huwelijk</w:t>
            </w:r>
            <w:r>
              <w:rPr>
                <w:noProof/>
                <w:webHidden/>
              </w:rPr>
              <w:tab/>
            </w:r>
            <w:r>
              <w:rPr>
                <w:noProof/>
                <w:webHidden/>
              </w:rPr>
              <w:fldChar w:fldCharType="begin"/>
            </w:r>
            <w:r>
              <w:rPr>
                <w:noProof/>
                <w:webHidden/>
              </w:rPr>
              <w:instrText xml:space="preserve"> PAGEREF _Toc167990441 \h </w:instrText>
            </w:r>
            <w:r>
              <w:rPr>
                <w:noProof/>
                <w:webHidden/>
              </w:rPr>
            </w:r>
            <w:r>
              <w:rPr>
                <w:noProof/>
                <w:webHidden/>
              </w:rPr>
              <w:fldChar w:fldCharType="separate"/>
            </w:r>
            <w:r>
              <w:rPr>
                <w:noProof/>
                <w:webHidden/>
              </w:rPr>
              <w:t>14</w:t>
            </w:r>
            <w:r>
              <w:rPr>
                <w:noProof/>
                <w:webHidden/>
              </w:rPr>
              <w:fldChar w:fldCharType="end"/>
            </w:r>
          </w:hyperlink>
        </w:p>
        <w:p w14:paraId="72618408"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2"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Begripsomschrijving</w:t>
            </w:r>
            <w:r>
              <w:rPr>
                <w:noProof/>
                <w:webHidden/>
              </w:rPr>
              <w:tab/>
            </w:r>
            <w:r>
              <w:rPr>
                <w:noProof/>
                <w:webHidden/>
              </w:rPr>
              <w:fldChar w:fldCharType="begin"/>
            </w:r>
            <w:r>
              <w:rPr>
                <w:noProof/>
                <w:webHidden/>
              </w:rPr>
              <w:instrText xml:space="preserve"> PAGEREF _Toc167990442 \h </w:instrText>
            </w:r>
            <w:r>
              <w:rPr>
                <w:noProof/>
                <w:webHidden/>
              </w:rPr>
            </w:r>
            <w:r>
              <w:rPr>
                <w:noProof/>
                <w:webHidden/>
              </w:rPr>
              <w:fldChar w:fldCharType="separate"/>
            </w:r>
            <w:r>
              <w:rPr>
                <w:noProof/>
                <w:webHidden/>
              </w:rPr>
              <w:t>14</w:t>
            </w:r>
            <w:r>
              <w:rPr>
                <w:noProof/>
                <w:webHidden/>
              </w:rPr>
              <w:fldChar w:fldCharType="end"/>
            </w:r>
          </w:hyperlink>
        </w:p>
        <w:p w14:paraId="22131008"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3" w:history="1">
            <w:r w:rsidRPr="008C64ED">
              <w:rPr>
                <w:rStyle w:val="Hyperlink"/>
                <w:noProof/>
                <w:lang w:val="nl-NL"/>
              </w:rPr>
              <w:t>2.</w:t>
            </w:r>
            <w:r>
              <w:rPr>
                <w:rFonts w:eastAsiaTheme="minorEastAsia" w:cstheme="minorBidi"/>
                <w:noProof/>
                <w:kern w:val="2"/>
                <w:sz w:val="24"/>
                <w:szCs w:val="24"/>
                <w:lang w:eastAsia="nl-NL"/>
                <w14:ligatures w14:val="standardContextual"/>
              </w:rPr>
              <w:tab/>
            </w:r>
            <w:r w:rsidRPr="008C64ED">
              <w:rPr>
                <w:rStyle w:val="Hyperlink"/>
                <w:noProof/>
                <w:lang w:val="nl-NL"/>
              </w:rPr>
              <w:t>Primair en secundair huwelijksrecht</w:t>
            </w:r>
            <w:r>
              <w:rPr>
                <w:noProof/>
                <w:webHidden/>
              </w:rPr>
              <w:tab/>
            </w:r>
            <w:r>
              <w:rPr>
                <w:noProof/>
                <w:webHidden/>
              </w:rPr>
              <w:fldChar w:fldCharType="begin"/>
            </w:r>
            <w:r>
              <w:rPr>
                <w:noProof/>
                <w:webHidden/>
              </w:rPr>
              <w:instrText xml:space="preserve"> PAGEREF _Toc167990443 \h </w:instrText>
            </w:r>
            <w:r>
              <w:rPr>
                <w:noProof/>
                <w:webHidden/>
              </w:rPr>
            </w:r>
            <w:r>
              <w:rPr>
                <w:noProof/>
                <w:webHidden/>
              </w:rPr>
              <w:fldChar w:fldCharType="separate"/>
            </w:r>
            <w:r>
              <w:rPr>
                <w:noProof/>
                <w:webHidden/>
              </w:rPr>
              <w:t>14</w:t>
            </w:r>
            <w:r>
              <w:rPr>
                <w:noProof/>
                <w:webHidden/>
              </w:rPr>
              <w:fldChar w:fldCharType="end"/>
            </w:r>
          </w:hyperlink>
        </w:p>
        <w:p w14:paraId="505AD6C0"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4" w:history="1">
            <w:r w:rsidRPr="008C64ED">
              <w:rPr>
                <w:rStyle w:val="Hyperlink"/>
                <w:noProof/>
                <w:lang w:val="nl-NL"/>
              </w:rPr>
              <w:t>3.</w:t>
            </w:r>
            <w:r>
              <w:rPr>
                <w:rFonts w:eastAsiaTheme="minorEastAsia" w:cstheme="minorBidi"/>
                <w:noProof/>
                <w:kern w:val="2"/>
                <w:sz w:val="24"/>
                <w:szCs w:val="24"/>
                <w:lang w:eastAsia="nl-NL"/>
                <w14:ligatures w14:val="standardContextual"/>
              </w:rPr>
              <w:tab/>
            </w:r>
            <w:r w:rsidRPr="008C64ED">
              <w:rPr>
                <w:rStyle w:val="Hyperlink"/>
                <w:noProof/>
                <w:lang w:val="nl-NL"/>
              </w:rPr>
              <w:t>Duur</w:t>
            </w:r>
            <w:r>
              <w:rPr>
                <w:noProof/>
                <w:webHidden/>
              </w:rPr>
              <w:tab/>
            </w:r>
            <w:r>
              <w:rPr>
                <w:noProof/>
                <w:webHidden/>
              </w:rPr>
              <w:fldChar w:fldCharType="begin"/>
            </w:r>
            <w:r>
              <w:rPr>
                <w:noProof/>
                <w:webHidden/>
              </w:rPr>
              <w:instrText xml:space="preserve"> PAGEREF _Toc167990444 \h </w:instrText>
            </w:r>
            <w:r>
              <w:rPr>
                <w:noProof/>
                <w:webHidden/>
              </w:rPr>
            </w:r>
            <w:r>
              <w:rPr>
                <w:noProof/>
                <w:webHidden/>
              </w:rPr>
              <w:fldChar w:fldCharType="separate"/>
            </w:r>
            <w:r>
              <w:rPr>
                <w:noProof/>
                <w:webHidden/>
              </w:rPr>
              <w:t>15</w:t>
            </w:r>
            <w:r>
              <w:rPr>
                <w:noProof/>
                <w:webHidden/>
              </w:rPr>
              <w:fldChar w:fldCharType="end"/>
            </w:r>
          </w:hyperlink>
        </w:p>
        <w:p w14:paraId="47ED6768"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45" w:history="1">
            <w:r w:rsidRPr="008C64ED">
              <w:rPr>
                <w:rStyle w:val="Hyperlink"/>
                <w:noProof/>
                <w:lang w:val="nl-NL"/>
              </w:rPr>
              <w:t>Hoofdstuk 2. Wettelijke samenwoning</w:t>
            </w:r>
            <w:r>
              <w:rPr>
                <w:noProof/>
                <w:webHidden/>
              </w:rPr>
              <w:tab/>
            </w:r>
            <w:r>
              <w:rPr>
                <w:noProof/>
                <w:webHidden/>
              </w:rPr>
              <w:fldChar w:fldCharType="begin"/>
            </w:r>
            <w:r>
              <w:rPr>
                <w:noProof/>
                <w:webHidden/>
              </w:rPr>
              <w:instrText xml:space="preserve"> PAGEREF _Toc167990445 \h </w:instrText>
            </w:r>
            <w:r>
              <w:rPr>
                <w:noProof/>
                <w:webHidden/>
              </w:rPr>
            </w:r>
            <w:r>
              <w:rPr>
                <w:noProof/>
                <w:webHidden/>
              </w:rPr>
              <w:fldChar w:fldCharType="separate"/>
            </w:r>
            <w:r>
              <w:rPr>
                <w:noProof/>
                <w:webHidden/>
              </w:rPr>
              <w:t>17</w:t>
            </w:r>
            <w:r>
              <w:rPr>
                <w:noProof/>
                <w:webHidden/>
              </w:rPr>
              <w:fldChar w:fldCharType="end"/>
            </w:r>
          </w:hyperlink>
        </w:p>
        <w:p w14:paraId="79A4CA95"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6"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Begripsomschrijving</w:t>
            </w:r>
            <w:r>
              <w:rPr>
                <w:noProof/>
                <w:webHidden/>
              </w:rPr>
              <w:tab/>
            </w:r>
            <w:r>
              <w:rPr>
                <w:noProof/>
                <w:webHidden/>
              </w:rPr>
              <w:fldChar w:fldCharType="begin"/>
            </w:r>
            <w:r>
              <w:rPr>
                <w:noProof/>
                <w:webHidden/>
              </w:rPr>
              <w:instrText xml:space="preserve"> PAGEREF _Toc167990446 \h </w:instrText>
            </w:r>
            <w:r>
              <w:rPr>
                <w:noProof/>
                <w:webHidden/>
              </w:rPr>
            </w:r>
            <w:r>
              <w:rPr>
                <w:noProof/>
                <w:webHidden/>
              </w:rPr>
              <w:fldChar w:fldCharType="separate"/>
            </w:r>
            <w:r>
              <w:rPr>
                <w:noProof/>
                <w:webHidden/>
              </w:rPr>
              <w:t>17</w:t>
            </w:r>
            <w:r>
              <w:rPr>
                <w:noProof/>
                <w:webHidden/>
              </w:rPr>
              <w:fldChar w:fldCharType="end"/>
            </w:r>
          </w:hyperlink>
        </w:p>
        <w:p w14:paraId="41FCB31C"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7" w:history="1">
            <w:r w:rsidRPr="008C64ED">
              <w:rPr>
                <w:rStyle w:val="Hyperlink"/>
                <w:noProof/>
              </w:rPr>
              <w:t>2.</w:t>
            </w:r>
            <w:r>
              <w:rPr>
                <w:rFonts w:eastAsiaTheme="minorEastAsia" w:cstheme="minorBidi"/>
                <w:noProof/>
                <w:kern w:val="2"/>
                <w:sz w:val="24"/>
                <w:szCs w:val="24"/>
                <w:lang w:eastAsia="nl-NL"/>
                <w14:ligatures w14:val="standardContextual"/>
              </w:rPr>
              <w:tab/>
            </w:r>
            <w:r w:rsidRPr="008C64ED">
              <w:rPr>
                <w:rStyle w:val="Hyperlink"/>
                <w:noProof/>
              </w:rPr>
              <w:t>Primair en secundair samenwoningsrecht</w:t>
            </w:r>
            <w:r>
              <w:rPr>
                <w:noProof/>
                <w:webHidden/>
              </w:rPr>
              <w:tab/>
            </w:r>
            <w:r>
              <w:rPr>
                <w:noProof/>
                <w:webHidden/>
              </w:rPr>
              <w:fldChar w:fldCharType="begin"/>
            </w:r>
            <w:r>
              <w:rPr>
                <w:noProof/>
                <w:webHidden/>
              </w:rPr>
              <w:instrText xml:space="preserve"> PAGEREF _Toc167990447 \h </w:instrText>
            </w:r>
            <w:r>
              <w:rPr>
                <w:noProof/>
                <w:webHidden/>
              </w:rPr>
            </w:r>
            <w:r>
              <w:rPr>
                <w:noProof/>
                <w:webHidden/>
              </w:rPr>
              <w:fldChar w:fldCharType="separate"/>
            </w:r>
            <w:r>
              <w:rPr>
                <w:noProof/>
                <w:webHidden/>
              </w:rPr>
              <w:t>18</w:t>
            </w:r>
            <w:r>
              <w:rPr>
                <w:noProof/>
                <w:webHidden/>
              </w:rPr>
              <w:fldChar w:fldCharType="end"/>
            </w:r>
          </w:hyperlink>
        </w:p>
        <w:p w14:paraId="1670121D"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48" w:history="1">
            <w:r w:rsidRPr="008C64ED">
              <w:rPr>
                <w:rStyle w:val="Hyperlink"/>
                <w:noProof/>
                <w:lang w:val="nl-NL"/>
              </w:rPr>
              <w:t>3.</w:t>
            </w:r>
            <w:r>
              <w:rPr>
                <w:rFonts w:eastAsiaTheme="minorEastAsia" w:cstheme="minorBidi"/>
                <w:noProof/>
                <w:kern w:val="2"/>
                <w:sz w:val="24"/>
                <w:szCs w:val="24"/>
                <w:lang w:eastAsia="nl-NL"/>
                <w14:ligatures w14:val="standardContextual"/>
              </w:rPr>
              <w:tab/>
            </w:r>
            <w:r w:rsidRPr="008C64ED">
              <w:rPr>
                <w:rStyle w:val="Hyperlink"/>
                <w:noProof/>
                <w:lang w:val="nl-NL"/>
              </w:rPr>
              <w:t>Duur</w:t>
            </w:r>
            <w:r>
              <w:rPr>
                <w:noProof/>
                <w:webHidden/>
              </w:rPr>
              <w:tab/>
            </w:r>
            <w:r>
              <w:rPr>
                <w:noProof/>
                <w:webHidden/>
              </w:rPr>
              <w:fldChar w:fldCharType="begin"/>
            </w:r>
            <w:r>
              <w:rPr>
                <w:noProof/>
                <w:webHidden/>
              </w:rPr>
              <w:instrText xml:space="preserve"> PAGEREF _Toc167990448 \h </w:instrText>
            </w:r>
            <w:r>
              <w:rPr>
                <w:noProof/>
                <w:webHidden/>
              </w:rPr>
            </w:r>
            <w:r>
              <w:rPr>
                <w:noProof/>
                <w:webHidden/>
              </w:rPr>
              <w:fldChar w:fldCharType="separate"/>
            </w:r>
            <w:r>
              <w:rPr>
                <w:noProof/>
                <w:webHidden/>
              </w:rPr>
              <w:t>19</w:t>
            </w:r>
            <w:r>
              <w:rPr>
                <w:noProof/>
                <w:webHidden/>
              </w:rPr>
              <w:fldChar w:fldCharType="end"/>
            </w:r>
          </w:hyperlink>
        </w:p>
        <w:p w14:paraId="6473AD50"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49" w:history="1">
            <w:r w:rsidRPr="008C64ED">
              <w:rPr>
                <w:rStyle w:val="Hyperlink"/>
                <w:noProof/>
                <w:lang w:val="nl-NL"/>
              </w:rPr>
              <w:t>Hoofdstuk 3. Feitelijke samenwoning</w:t>
            </w:r>
            <w:r>
              <w:rPr>
                <w:noProof/>
                <w:webHidden/>
              </w:rPr>
              <w:tab/>
            </w:r>
            <w:r>
              <w:rPr>
                <w:noProof/>
                <w:webHidden/>
              </w:rPr>
              <w:fldChar w:fldCharType="begin"/>
            </w:r>
            <w:r>
              <w:rPr>
                <w:noProof/>
                <w:webHidden/>
              </w:rPr>
              <w:instrText xml:space="preserve"> PAGEREF _Toc167990449 \h </w:instrText>
            </w:r>
            <w:r>
              <w:rPr>
                <w:noProof/>
                <w:webHidden/>
              </w:rPr>
            </w:r>
            <w:r>
              <w:rPr>
                <w:noProof/>
                <w:webHidden/>
              </w:rPr>
              <w:fldChar w:fldCharType="separate"/>
            </w:r>
            <w:r>
              <w:rPr>
                <w:noProof/>
                <w:webHidden/>
              </w:rPr>
              <w:t>19</w:t>
            </w:r>
            <w:r>
              <w:rPr>
                <w:noProof/>
                <w:webHidden/>
              </w:rPr>
              <w:fldChar w:fldCharType="end"/>
            </w:r>
          </w:hyperlink>
        </w:p>
        <w:p w14:paraId="44CCBA8B"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0"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Begripsomschrijving</w:t>
            </w:r>
            <w:r>
              <w:rPr>
                <w:noProof/>
                <w:webHidden/>
              </w:rPr>
              <w:tab/>
            </w:r>
            <w:r>
              <w:rPr>
                <w:noProof/>
                <w:webHidden/>
              </w:rPr>
              <w:fldChar w:fldCharType="begin"/>
            </w:r>
            <w:r>
              <w:rPr>
                <w:noProof/>
                <w:webHidden/>
              </w:rPr>
              <w:instrText xml:space="preserve"> PAGEREF _Toc167990450 \h </w:instrText>
            </w:r>
            <w:r>
              <w:rPr>
                <w:noProof/>
                <w:webHidden/>
              </w:rPr>
            </w:r>
            <w:r>
              <w:rPr>
                <w:noProof/>
                <w:webHidden/>
              </w:rPr>
              <w:fldChar w:fldCharType="separate"/>
            </w:r>
            <w:r>
              <w:rPr>
                <w:noProof/>
                <w:webHidden/>
              </w:rPr>
              <w:t>19</w:t>
            </w:r>
            <w:r>
              <w:rPr>
                <w:noProof/>
                <w:webHidden/>
              </w:rPr>
              <w:fldChar w:fldCharType="end"/>
            </w:r>
          </w:hyperlink>
        </w:p>
        <w:p w14:paraId="7D1D3039"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1" w:history="1">
            <w:r w:rsidRPr="008C64ED">
              <w:rPr>
                <w:rStyle w:val="Hyperlink"/>
                <w:noProof/>
                <w:lang w:val="nl-NL"/>
              </w:rPr>
              <w:t>2.</w:t>
            </w:r>
            <w:r>
              <w:rPr>
                <w:rFonts w:eastAsiaTheme="minorEastAsia" w:cstheme="minorBidi"/>
                <w:noProof/>
                <w:kern w:val="2"/>
                <w:sz w:val="24"/>
                <w:szCs w:val="24"/>
                <w:lang w:eastAsia="nl-NL"/>
                <w14:ligatures w14:val="standardContextual"/>
              </w:rPr>
              <w:tab/>
            </w:r>
            <w:r w:rsidRPr="008C64ED">
              <w:rPr>
                <w:rStyle w:val="Hyperlink"/>
                <w:noProof/>
                <w:lang w:val="nl-NL"/>
              </w:rPr>
              <w:t>Primair en secundair samenwoningsrecht</w:t>
            </w:r>
            <w:r>
              <w:rPr>
                <w:noProof/>
                <w:webHidden/>
              </w:rPr>
              <w:tab/>
            </w:r>
            <w:r>
              <w:rPr>
                <w:noProof/>
                <w:webHidden/>
              </w:rPr>
              <w:fldChar w:fldCharType="begin"/>
            </w:r>
            <w:r>
              <w:rPr>
                <w:noProof/>
                <w:webHidden/>
              </w:rPr>
              <w:instrText xml:space="preserve"> PAGEREF _Toc167990451 \h </w:instrText>
            </w:r>
            <w:r>
              <w:rPr>
                <w:noProof/>
                <w:webHidden/>
              </w:rPr>
            </w:r>
            <w:r>
              <w:rPr>
                <w:noProof/>
                <w:webHidden/>
              </w:rPr>
              <w:fldChar w:fldCharType="separate"/>
            </w:r>
            <w:r>
              <w:rPr>
                <w:noProof/>
                <w:webHidden/>
              </w:rPr>
              <w:t>20</w:t>
            </w:r>
            <w:r>
              <w:rPr>
                <w:noProof/>
                <w:webHidden/>
              </w:rPr>
              <w:fldChar w:fldCharType="end"/>
            </w:r>
          </w:hyperlink>
        </w:p>
        <w:p w14:paraId="63CFF0B8"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2" w:history="1">
            <w:r w:rsidRPr="008C64ED">
              <w:rPr>
                <w:rStyle w:val="Hyperlink"/>
                <w:noProof/>
                <w:lang w:val="nl-NL"/>
              </w:rPr>
              <w:t>3.</w:t>
            </w:r>
            <w:r>
              <w:rPr>
                <w:rFonts w:eastAsiaTheme="minorEastAsia" w:cstheme="minorBidi"/>
                <w:noProof/>
                <w:kern w:val="2"/>
                <w:sz w:val="24"/>
                <w:szCs w:val="24"/>
                <w:lang w:eastAsia="nl-NL"/>
                <w14:ligatures w14:val="standardContextual"/>
              </w:rPr>
              <w:tab/>
            </w:r>
            <w:r w:rsidRPr="008C64ED">
              <w:rPr>
                <w:rStyle w:val="Hyperlink"/>
                <w:noProof/>
                <w:lang w:val="nl-NL"/>
              </w:rPr>
              <w:t>Duur</w:t>
            </w:r>
            <w:r>
              <w:rPr>
                <w:noProof/>
                <w:webHidden/>
              </w:rPr>
              <w:tab/>
            </w:r>
            <w:r>
              <w:rPr>
                <w:noProof/>
                <w:webHidden/>
              </w:rPr>
              <w:fldChar w:fldCharType="begin"/>
            </w:r>
            <w:r>
              <w:rPr>
                <w:noProof/>
                <w:webHidden/>
              </w:rPr>
              <w:instrText xml:space="preserve"> PAGEREF _Toc167990452 \h </w:instrText>
            </w:r>
            <w:r>
              <w:rPr>
                <w:noProof/>
                <w:webHidden/>
              </w:rPr>
            </w:r>
            <w:r>
              <w:rPr>
                <w:noProof/>
                <w:webHidden/>
              </w:rPr>
              <w:fldChar w:fldCharType="separate"/>
            </w:r>
            <w:r>
              <w:rPr>
                <w:noProof/>
                <w:webHidden/>
              </w:rPr>
              <w:t>20</w:t>
            </w:r>
            <w:r>
              <w:rPr>
                <w:noProof/>
                <w:webHidden/>
              </w:rPr>
              <w:fldChar w:fldCharType="end"/>
            </w:r>
          </w:hyperlink>
        </w:p>
        <w:p w14:paraId="3B529FFB"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453" w:history="1">
            <w:r w:rsidRPr="008C64ED">
              <w:rPr>
                <w:rStyle w:val="Hyperlink"/>
                <w:noProof/>
              </w:rPr>
              <w:t>DEEL II: Naar een huwelijk en wettelijke samenwoning van bepaalde duur?</w:t>
            </w:r>
            <w:r>
              <w:rPr>
                <w:noProof/>
                <w:webHidden/>
              </w:rPr>
              <w:tab/>
            </w:r>
            <w:r>
              <w:rPr>
                <w:noProof/>
                <w:webHidden/>
              </w:rPr>
              <w:fldChar w:fldCharType="begin"/>
            </w:r>
            <w:r>
              <w:rPr>
                <w:noProof/>
                <w:webHidden/>
              </w:rPr>
              <w:instrText xml:space="preserve"> PAGEREF _Toc167990453 \h </w:instrText>
            </w:r>
            <w:r>
              <w:rPr>
                <w:noProof/>
                <w:webHidden/>
              </w:rPr>
            </w:r>
            <w:r>
              <w:rPr>
                <w:noProof/>
                <w:webHidden/>
              </w:rPr>
              <w:fldChar w:fldCharType="separate"/>
            </w:r>
            <w:r>
              <w:rPr>
                <w:noProof/>
                <w:webHidden/>
              </w:rPr>
              <w:t>21</w:t>
            </w:r>
            <w:r>
              <w:rPr>
                <w:noProof/>
                <w:webHidden/>
              </w:rPr>
              <w:fldChar w:fldCharType="end"/>
            </w:r>
          </w:hyperlink>
        </w:p>
        <w:p w14:paraId="6BD0318E"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54" w:history="1">
            <w:r w:rsidRPr="008C64ED">
              <w:rPr>
                <w:rStyle w:val="Hyperlink"/>
                <w:noProof/>
                <w:lang w:val="nl-NL"/>
              </w:rPr>
              <w:t>Hoofdstuk 1. Verbintenisrechtelijk perspectief</w:t>
            </w:r>
            <w:r>
              <w:rPr>
                <w:noProof/>
                <w:webHidden/>
              </w:rPr>
              <w:tab/>
            </w:r>
            <w:r>
              <w:rPr>
                <w:noProof/>
                <w:webHidden/>
              </w:rPr>
              <w:fldChar w:fldCharType="begin"/>
            </w:r>
            <w:r>
              <w:rPr>
                <w:noProof/>
                <w:webHidden/>
              </w:rPr>
              <w:instrText xml:space="preserve"> PAGEREF _Toc167990454 \h </w:instrText>
            </w:r>
            <w:r>
              <w:rPr>
                <w:noProof/>
                <w:webHidden/>
              </w:rPr>
            </w:r>
            <w:r>
              <w:rPr>
                <w:noProof/>
                <w:webHidden/>
              </w:rPr>
              <w:fldChar w:fldCharType="separate"/>
            </w:r>
            <w:r>
              <w:rPr>
                <w:noProof/>
                <w:webHidden/>
              </w:rPr>
              <w:t>21</w:t>
            </w:r>
            <w:r>
              <w:rPr>
                <w:noProof/>
                <w:webHidden/>
              </w:rPr>
              <w:fldChar w:fldCharType="end"/>
            </w:r>
          </w:hyperlink>
        </w:p>
        <w:p w14:paraId="2D09F878"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55" w:history="1">
            <w:r w:rsidRPr="008C64ED">
              <w:rPr>
                <w:rStyle w:val="Hyperlink"/>
                <w:noProof/>
                <w:lang w:val="nl-NL"/>
              </w:rPr>
              <w:t>Hoofdstuk 2. Hinderpalen</w:t>
            </w:r>
            <w:r>
              <w:rPr>
                <w:noProof/>
                <w:webHidden/>
              </w:rPr>
              <w:tab/>
            </w:r>
            <w:r>
              <w:rPr>
                <w:noProof/>
                <w:webHidden/>
              </w:rPr>
              <w:fldChar w:fldCharType="begin"/>
            </w:r>
            <w:r>
              <w:rPr>
                <w:noProof/>
                <w:webHidden/>
              </w:rPr>
              <w:instrText xml:space="preserve"> PAGEREF _Toc167990455 \h </w:instrText>
            </w:r>
            <w:r>
              <w:rPr>
                <w:noProof/>
                <w:webHidden/>
              </w:rPr>
            </w:r>
            <w:r>
              <w:rPr>
                <w:noProof/>
                <w:webHidden/>
              </w:rPr>
              <w:fldChar w:fldCharType="separate"/>
            </w:r>
            <w:r>
              <w:rPr>
                <w:noProof/>
                <w:webHidden/>
              </w:rPr>
              <w:t>22</w:t>
            </w:r>
            <w:r>
              <w:rPr>
                <w:noProof/>
                <w:webHidden/>
              </w:rPr>
              <w:fldChar w:fldCharType="end"/>
            </w:r>
          </w:hyperlink>
        </w:p>
        <w:p w14:paraId="728DCC03"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6"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Openbare orde</w:t>
            </w:r>
            <w:r>
              <w:rPr>
                <w:noProof/>
                <w:webHidden/>
              </w:rPr>
              <w:tab/>
            </w:r>
            <w:r>
              <w:rPr>
                <w:noProof/>
                <w:webHidden/>
              </w:rPr>
              <w:fldChar w:fldCharType="begin"/>
            </w:r>
            <w:r>
              <w:rPr>
                <w:noProof/>
                <w:webHidden/>
              </w:rPr>
              <w:instrText xml:space="preserve"> PAGEREF _Toc167990456 \h </w:instrText>
            </w:r>
            <w:r>
              <w:rPr>
                <w:noProof/>
                <w:webHidden/>
              </w:rPr>
            </w:r>
            <w:r>
              <w:rPr>
                <w:noProof/>
                <w:webHidden/>
              </w:rPr>
              <w:fldChar w:fldCharType="separate"/>
            </w:r>
            <w:r>
              <w:rPr>
                <w:noProof/>
                <w:webHidden/>
              </w:rPr>
              <w:t>22</w:t>
            </w:r>
            <w:r>
              <w:rPr>
                <w:noProof/>
                <w:webHidden/>
              </w:rPr>
              <w:fldChar w:fldCharType="end"/>
            </w:r>
          </w:hyperlink>
        </w:p>
        <w:p w14:paraId="44D886AD"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7" w:history="1">
            <w:r w:rsidRPr="008C64ED">
              <w:rPr>
                <w:rStyle w:val="Hyperlink"/>
                <w:noProof/>
                <w:lang w:val="nl-NL"/>
              </w:rPr>
              <w:t>2.</w:t>
            </w:r>
            <w:r>
              <w:rPr>
                <w:rFonts w:eastAsiaTheme="minorEastAsia" w:cstheme="minorBidi"/>
                <w:noProof/>
                <w:kern w:val="2"/>
                <w:sz w:val="24"/>
                <w:szCs w:val="24"/>
                <w:lang w:eastAsia="nl-NL"/>
                <w14:ligatures w14:val="standardContextual"/>
              </w:rPr>
              <w:tab/>
            </w:r>
            <w:r w:rsidRPr="008C64ED">
              <w:rPr>
                <w:rStyle w:val="Hyperlink"/>
                <w:noProof/>
                <w:lang w:val="nl-NL"/>
              </w:rPr>
              <w:t>Grondvoorwaarden</w:t>
            </w:r>
            <w:r>
              <w:rPr>
                <w:noProof/>
                <w:webHidden/>
              </w:rPr>
              <w:tab/>
            </w:r>
            <w:r>
              <w:rPr>
                <w:noProof/>
                <w:webHidden/>
              </w:rPr>
              <w:fldChar w:fldCharType="begin"/>
            </w:r>
            <w:r>
              <w:rPr>
                <w:noProof/>
                <w:webHidden/>
              </w:rPr>
              <w:instrText xml:space="preserve"> PAGEREF _Toc167990457 \h </w:instrText>
            </w:r>
            <w:r>
              <w:rPr>
                <w:noProof/>
                <w:webHidden/>
              </w:rPr>
            </w:r>
            <w:r>
              <w:rPr>
                <w:noProof/>
                <w:webHidden/>
              </w:rPr>
              <w:fldChar w:fldCharType="separate"/>
            </w:r>
            <w:r>
              <w:rPr>
                <w:noProof/>
                <w:webHidden/>
              </w:rPr>
              <w:t>23</w:t>
            </w:r>
            <w:r>
              <w:rPr>
                <w:noProof/>
                <w:webHidden/>
              </w:rPr>
              <w:fldChar w:fldCharType="end"/>
            </w:r>
          </w:hyperlink>
        </w:p>
        <w:p w14:paraId="41B370CA"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58" w:history="1">
            <w:r w:rsidRPr="008C64ED">
              <w:rPr>
                <w:rStyle w:val="Hyperlink"/>
                <w:noProof/>
                <w:lang w:val="nl-NL"/>
              </w:rPr>
              <w:t>3.</w:t>
            </w:r>
            <w:r>
              <w:rPr>
                <w:rFonts w:eastAsiaTheme="minorEastAsia" w:cstheme="minorBidi"/>
                <w:noProof/>
                <w:kern w:val="2"/>
                <w:sz w:val="24"/>
                <w:szCs w:val="24"/>
                <w:lang w:eastAsia="nl-NL"/>
                <w14:ligatures w14:val="standardContextual"/>
              </w:rPr>
              <w:tab/>
            </w:r>
            <w:r w:rsidRPr="008C64ED">
              <w:rPr>
                <w:rStyle w:val="Hyperlink"/>
                <w:noProof/>
                <w:lang w:val="nl-NL"/>
              </w:rPr>
              <w:t>Vereisten</w:t>
            </w:r>
            <w:r>
              <w:rPr>
                <w:noProof/>
                <w:webHidden/>
              </w:rPr>
              <w:tab/>
            </w:r>
            <w:r>
              <w:rPr>
                <w:noProof/>
                <w:webHidden/>
              </w:rPr>
              <w:fldChar w:fldCharType="begin"/>
            </w:r>
            <w:r>
              <w:rPr>
                <w:noProof/>
                <w:webHidden/>
              </w:rPr>
              <w:instrText xml:space="preserve"> PAGEREF _Toc167990458 \h </w:instrText>
            </w:r>
            <w:r>
              <w:rPr>
                <w:noProof/>
                <w:webHidden/>
              </w:rPr>
            </w:r>
            <w:r>
              <w:rPr>
                <w:noProof/>
                <w:webHidden/>
              </w:rPr>
              <w:fldChar w:fldCharType="separate"/>
            </w:r>
            <w:r>
              <w:rPr>
                <w:noProof/>
                <w:webHidden/>
              </w:rPr>
              <w:t>24</w:t>
            </w:r>
            <w:r>
              <w:rPr>
                <w:noProof/>
                <w:webHidden/>
              </w:rPr>
              <w:fldChar w:fldCharType="end"/>
            </w:r>
          </w:hyperlink>
        </w:p>
        <w:p w14:paraId="1BFADC56"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59" w:history="1">
            <w:r w:rsidRPr="008C64ED">
              <w:rPr>
                <w:rStyle w:val="Hyperlink"/>
                <w:noProof/>
                <w:lang w:val="nl-NL"/>
              </w:rPr>
              <w:t>A.</w:t>
            </w:r>
            <w:r>
              <w:rPr>
                <w:rFonts w:eastAsiaTheme="minorEastAsia" w:cstheme="minorBidi"/>
                <w:noProof/>
                <w:kern w:val="2"/>
                <w:sz w:val="24"/>
                <w:szCs w:val="24"/>
                <w:lang w:eastAsia="nl-NL"/>
                <w14:ligatures w14:val="standardContextual"/>
              </w:rPr>
              <w:tab/>
            </w:r>
            <w:r w:rsidRPr="008C64ED">
              <w:rPr>
                <w:rStyle w:val="Hyperlink"/>
                <w:noProof/>
                <w:lang w:val="nl-NL"/>
              </w:rPr>
              <w:t>Institutionalisering</w:t>
            </w:r>
            <w:r>
              <w:rPr>
                <w:noProof/>
                <w:webHidden/>
              </w:rPr>
              <w:tab/>
            </w:r>
            <w:r>
              <w:rPr>
                <w:noProof/>
                <w:webHidden/>
              </w:rPr>
              <w:fldChar w:fldCharType="begin"/>
            </w:r>
            <w:r>
              <w:rPr>
                <w:noProof/>
                <w:webHidden/>
              </w:rPr>
              <w:instrText xml:space="preserve"> PAGEREF _Toc167990459 \h </w:instrText>
            </w:r>
            <w:r>
              <w:rPr>
                <w:noProof/>
                <w:webHidden/>
              </w:rPr>
            </w:r>
            <w:r>
              <w:rPr>
                <w:noProof/>
                <w:webHidden/>
              </w:rPr>
              <w:fldChar w:fldCharType="separate"/>
            </w:r>
            <w:r>
              <w:rPr>
                <w:noProof/>
                <w:webHidden/>
              </w:rPr>
              <w:t>25</w:t>
            </w:r>
            <w:r>
              <w:rPr>
                <w:noProof/>
                <w:webHidden/>
              </w:rPr>
              <w:fldChar w:fldCharType="end"/>
            </w:r>
          </w:hyperlink>
        </w:p>
        <w:p w14:paraId="01E398C0"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0" w:history="1">
            <w:r w:rsidRPr="008C64ED">
              <w:rPr>
                <w:rStyle w:val="Hyperlink"/>
                <w:noProof/>
                <w:lang w:val="nl-NL"/>
              </w:rPr>
              <w:t>B.</w:t>
            </w:r>
            <w:r>
              <w:rPr>
                <w:rFonts w:eastAsiaTheme="minorEastAsia" w:cstheme="minorBidi"/>
                <w:noProof/>
                <w:kern w:val="2"/>
                <w:sz w:val="24"/>
                <w:szCs w:val="24"/>
                <w:lang w:eastAsia="nl-NL"/>
                <w14:ligatures w14:val="standardContextual"/>
              </w:rPr>
              <w:tab/>
            </w:r>
            <w:r w:rsidRPr="008C64ED">
              <w:rPr>
                <w:rStyle w:val="Hyperlink"/>
                <w:noProof/>
                <w:lang w:val="nl-NL"/>
              </w:rPr>
              <w:t>Seksualiteit</w:t>
            </w:r>
            <w:r>
              <w:rPr>
                <w:noProof/>
                <w:webHidden/>
              </w:rPr>
              <w:tab/>
            </w:r>
            <w:r>
              <w:rPr>
                <w:noProof/>
                <w:webHidden/>
              </w:rPr>
              <w:fldChar w:fldCharType="begin"/>
            </w:r>
            <w:r>
              <w:rPr>
                <w:noProof/>
                <w:webHidden/>
              </w:rPr>
              <w:instrText xml:space="preserve"> PAGEREF _Toc167990460 \h </w:instrText>
            </w:r>
            <w:r>
              <w:rPr>
                <w:noProof/>
                <w:webHidden/>
              </w:rPr>
            </w:r>
            <w:r>
              <w:rPr>
                <w:noProof/>
                <w:webHidden/>
              </w:rPr>
              <w:fldChar w:fldCharType="separate"/>
            </w:r>
            <w:r>
              <w:rPr>
                <w:noProof/>
                <w:webHidden/>
              </w:rPr>
              <w:t>25</w:t>
            </w:r>
            <w:r>
              <w:rPr>
                <w:noProof/>
                <w:webHidden/>
              </w:rPr>
              <w:fldChar w:fldCharType="end"/>
            </w:r>
          </w:hyperlink>
        </w:p>
        <w:p w14:paraId="1367B87F"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1" w:history="1">
            <w:r w:rsidRPr="008C64ED">
              <w:rPr>
                <w:rStyle w:val="Hyperlink"/>
                <w:noProof/>
                <w:lang w:val="nl-NL"/>
              </w:rPr>
              <w:t>C.</w:t>
            </w:r>
            <w:r>
              <w:rPr>
                <w:rFonts w:eastAsiaTheme="minorEastAsia" w:cstheme="minorBidi"/>
                <w:noProof/>
                <w:kern w:val="2"/>
                <w:sz w:val="24"/>
                <w:szCs w:val="24"/>
                <w:lang w:eastAsia="nl-NL"/>
                <w14:ligatures w14:val="standardContextual"/>
              </w:rPr>
              <w:tab/>
            </w:r>
            <w:r w:rsidRPr="008C64ED">
              <w:rPr>
                <w:rStyle w:val="Hyperlink"/>
                <w:noProof/>
                <w:lang w:val="nl-NL"/>
              </w:rPr>
              <w:t>Exclusiviteit</w:t>
            </w:r>
            <w:r>
              <w:rPr>
                <w:noProof/>
                <w:webHidden/>
              </w:rPr>
              <w:tab/>
            </w:r>
            <w:r>
              <w:rPr>
                <w:noProof/>
                <w:webHidden/>
              </w:rPr>
              <w:fldChar w:fldCharType="begin"/>
            </w:r>
            <w:r>
              <w:rPr>
                <w:noProof/>
                <w:webHidden/>
              </w:rPr>
              <w:instrText xml:space="preserve"> PAGEREF _Toc167990461 \h </w:instrText>
            </w:r>
            <w:r>
              <w:rPr>
                <w:noProof/>
                <w:webHidden/>
              </w:rPr>
            </w:r>
            <w:r>
              <w:rPr>
                <w:noProof/>
                <w:webHidden/>
              </w:rPr>
              <w:fldChar w:fldCharType="separate"/>
            </w:r>
            <w:r>
              <w:rPr>
                <w:noProof/>
                <w:webHidden/>
              </w:rPr>
              <w:t>25</w:t>
            </w:r>
            <w:r>
              <w:rPr>
                <w:noProof/>
                <w:webHidden/>
              </w:rPr>
              <w:fldChar w:fldCharType="end"/>
            </w:r>
          </w:hyperlink>
        </w:p>
        <w:p w14:paraId="0D1DA334"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2" w:history="1">
            <w:r w:rsidRPr="008C64ED">
              <w:rPr>
                <w:rStyle w:val="Hyperlink"/>
                <w:noProof/>
                <w:lang w:val="nl-NL"/>
              </w:rPr>
              <w:t>D.</w:t>
            </w:r>
            <w:r>
              <w:rPr>
                <w:rFonts w:eastAsiaTheme="minorEastAsia" w:cstheme="minorBidi"/>
                <w:noProof/>
                <w:kern w:val="2"/>
                <w:sz w:val="24"/>
                <w:szCs w:val="24"/>
                <w:lang w:eastAsia="nl-NL"/>
                <w14:ligatures w14:val="standardContextual"/>
              </w:rPr>
              <w:tab/>
            </w:r>
            <w:r w:rsidRPr="008C64ED">
              <w:rPr>
                <w:rStyle w:val="Hyperlink"/>
                <w:noProof/>
                <w:lang w:val="nl-NL"/>
              </w:rPr>
              <w:t>Levensgemeenschap</w:t>
            </w:r>
            <w:r>
              <w:rPr>
                <w:noProof/>
                <w:webHidden/>
              </w:rPr>
              <w:tab/>
            </w:r>
            <w:r>
              <w:rPr>
                <w:noProof/>
                <w:webHidden/>
              </w:rPr>
              <w:fldChar w:fldCharType="begin"/>
            </w:r>
            <w:r>
              <w:rPr>
                <w:noProof/>
                <w:webHidden/>
              </w:rPr>
              <w:instrText xml:space="preserve"> PAGEREF _Toc167990462 \h </w:instrText>
            </w:r>
            <w:r>
              <w:rPr>
                <w:noProof/>
                <w:webHidden/>
              </w:rPr>
            </w:r>
            <w:r>
              <w:rPr>
                <w:noProof/>
                <w:webHidden/>
              </w:rPr>
              <w:fldChar w:fldCharType="separate"/>
            </w:r>
            <w:r>
              <w:rPr>
                <w:noProof/>
                <w:webHidden/>
              </w:rPr>
              <w:t>26</w:t>
            </w:r>
            <w:r>
              <w:rPr>
                <w:noProof/>
                <w:webHidden/>
              </w:rPr>
              <w:fldChar w:fldCharType="end"/>
            </w:r>
          </w:hyperlink>
        </w:p>
        <w:p w14:paraId="450ABBCF"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3" w:history="1">
            <w:r w:rsidRPr="008C64ED">
              <w:rPr>
                <w:rStyle w:val="Hyperlink"/>
                <w:noProof/>
                <w:lang w:val="nl-NL"/>
              </w:rPr>
              <w:t>E.</w:t>
            </w:r>
            <w:r>
              <w:rPr>
                <w:rFonts w:eastAsiaTheme="minorEastAsia" w:cstheme="minorBidi"/>
                <w:noProof/>
                <w:kern w:val="2"/>
                <w:sz w:val="24"/>
                <w:szCs w:val="24"/>
                <w:lang w:eastAsia="nl-NL"/>
                <w14:ligatures w14:val="standardContextual"/>
              </w:rPr>
              <w:tab/>
            </w:r>
            <w:r w:rsidRPr="008C64ED">
              <w:rPr>
                <w:rStyle w:val="Hyperlink"/>
                <w:noProof/>
                <w:lang w:val="nl-NL"/>
              </w:rPr>
              <w:t>Bestendigheid</w:t>
            </w:r>
            <w:r>
              <w:rPr>
                <w:noProof/>
                <w:webHidden/>
              </w:rPr>
              <w:tab/>
            </w:r>
            <w:r>
              <w:rPr>
                <w:noProof/>
                <w:webHidden/>
              </w:rPr>
              <w:fldChar w:fldCharType="begin"/>
            </w:r>
            <w:r>
              <w:rPr>
                <w:noProof/>
                <w:webHidden/>
              </w:rPr>
              <w:instrText xml:space="preserve"> PAGEREF _Toc167990463 \h </w:instrText>
            </w:r>
            <w:r>
              <w:rPr>
                <w:noProof/>
                <w:webHidden/>
              </w:rPr>
            </w:r>
            <w:r>
              <w:rPr>
                <w:noProof/>
                <w:webHidden/>
              </w:rPr>
              <w:fldChar w:fldCharType="separate"/>
            </w:r>
            <w:r>
              <w:rPr>
                <w:noProof/>
                <w:webHidden/>
              </w:rPr>
              <w:t>26</w:t>
            </w:r>
            <w:r>
              <w:rPr>
                <w:noProof/>
                <w:webHidden/>
              </w:rPr>
              <w:fldChar w:fldCharType="end"/>
            </w:r>
          </w:hyperlink>
        </w:p>
        <w:p w14:paraId="47D3DDB3"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4" w:history="1">
            <w:r w:rsidRPr="008C64ED">
              <w:rPr>
                <w:rStyle w:val="Hyperlink"/>
                <w:noProof/>
                <w:lang w:val="nl-NL"/>
              </w:rPr>
              <w:t>F.</w:t>
            </w:r>
            <w:r>
              <w:rPr>
                <w:rFonts w:eastAsiaTheme="minorEastAsia" w:cstheme="minorBidi"/>
                <w:noProof/>
                <w:kern w:val="2"/>
                <w:sz w:val="24"/>
                <w:szCs w:val="24"/>
                <w:lang w:eastAsia="nl-NL"/>
                <w14:ligatures w14:val="standardContextual"/>
              </w:rPr>
              <w:tab/>
            </w:r>
            <w:r w:rsidRPr="008C64ED">
              <w:rPr>
                <w:rStyle w:val="Hyperlink"/>
                <w:noProof/>
                <w:lang w:val="nl-NL"/>
              </w:rPr>
              <w:t>Contractueel</w:t>
            </w:r>
            <w:r>
              <w:rPr>
                <w:noProof/>
                <w:webHidden/>
              </w:rPr>
              <w:tab/>
            </w:r>
            <w:r>
              <w:rPr>
                <w:noProof/>
                <w:webHidden/>
              </w:rPr>
              <w:fldChar w:fldCharType="begin"/>
            </w:r>
            <w:r>
              <w:rPr>
                <w:noProof/>
                <w:webHidden/>
              </w:rPr>
              <w:instrText xml:space="preserve"> PAGEREF _Toc167990464 \h </w:instrText>
            </w:r>
            <w:r>
              <w:rPr>
                <w:noProof/>
                <w:webHidden/>
              </w:rPr>
            </w:r>
            <w:r>
              <w:rPr>
                <w:noProof/>
                <w:webHidden/>
              </w:rPr>
              <w:fldChar w:fldCharType="separate"/>
            </w:r>
            <w:r>
              <w:rPr>
                <w:noProof/>
                <w:webHidden/>
              </w:rPr>
              <w:t>29</w:t>
            </w:r>
            <w:r>
              <w:rPr>
                <w:noProof/>
                <w:webHidden/>
              </w:rPr>
              <w:fldChar w:fldCharType="end"/>
            </w:r>
          </w:hyperlink>
        </w:p>
        <w:p w14:paraId="25ECEC47"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65" w:history="1">
            <w:r w:rsidRPr="008C64ED">
              <w:rPr>
                <w:rStyle w:val="Hyperlink"/>
                <w:noProof/>
                <w:lang w:val="nl-NL"/>
              </w:rPr>
              <w:t>Hoofdstuk 3. Uitdovende tijdsbepaling</w:t>
            </w:r>
            <w:r>
              <w:rPr>
                <w:noProof/>
                <w:webHidden/>
              </w:rPr>
              <w:tab/>
            </w:r>
            <w:r>
              <w:rPr>
                <w:noProof/>
                <w:webHidden/>
              </w:rPr>
              <w:fldChar w:fldCharType="begin"/>
            </w:r>
            <w:r>
              <w:rPr>
                <w:noProof/>
                <w:webHidden/>
              </w:rPr>
              <w:instrText xml:space="preserve"> PAGEREF _Toc167990465 \h </w:instrText>
            </w:r>
            <w:r>
              <w:rPr>
                <w:noProof/>
                <w:webHidden/>
              </w:rPr>
            </w:r>
            <w:r>
              <w:rPr>
                <w:noProof/>
                <w:webHidden/>
              </w:rPr>
              <w:fldChar w:fldCharType="separate"/>
            </w:r>
            <w:r>
              <w:rPr>
                <w:noProof/>
                <w:webHidden/>
              </w:rPr>
              <w:t>30</w:t>
            </w:r>
            <w:r>
              <w:rPr>
                <w:noProof/>
                <w:webHidden/>
              </w:rPr>
              <w:fldChar w:fldCharType="end"/>
            </w:r>
          </w:hyperlink>
        </w:p>
        <w:p w14:paraId="0D3127E1"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66"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Wettelijk kader</w:t>
            </w:r>
            <w:r>
              <w:rPr>
                <w:noProof/>
                <w:webHidden/>
              </w:rPr>
              <w:tab/>
            </w:r>
            <w:r>
              <w:rPr>
                <w:noProof/>
                <w:webHidden/>
              </w:rPr>
              <w:fldChar w:fldCharType="begin"/>
            </w:r>
            <w:r>
              <w:rPr>
                <w:noProof/>
                <w:webHidden/>
              </w:rPr>
              <w:instrText xml:space="preserve"> PAGEREF _Toc167990466 \h </w:instrText>
            </w:r>
            <w:r>
              <w:rPr>
                <w:noProof/>
                <w:webHidden/>
              </w:rPr>
            </w:r>
            <w:r>
              <w:rPr>
                <w:noProof/>
                <w:webHidden/>
              </w:rPr>
              <w:fldChar w:fldCharType="separate"/>
            </w:r>
            <w:r>
              <w:rPr>
                <w:noProof/>
                <w:webHidden/>
              </w:rPr>
              <w:t>30</w:t>
            </w:r>
            <w:r>
              <w:rPr>
                <w:noProof/>
                <w:webHidden/>
              </w:rPr>
              <w:fldChar w:fldCharType="end"/>
            </w:r>
          </w:hyperlink>
        </w:p>
        <w:p w14:paraId="31D38C2D"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7" w:history="1">
            <w:r w:rsidRPr="008C64ED">
              <w:rPr>
                <w:rStyle w:val="Hyperlink"/>
                <w:noProof/>
                <w:lang w:val="nl-NL"/>
              </w:rPr>
              <w:t>A.</w:t>
            </w:r>
            <w:r>
              <w:rPr>
                <w:rFonts w:eastAsiaTheme="minorEastAsia" w:cstheme="minorBidi"/>
                <w:noProof/>
                <w:kern w:val="2"/>
                <w:sz w:val="24"/>
                <w:szCs w:val="24"/>
                <w:lang w:eastAsia="nl-NL"/>
                <w14:ligatures w14:val="standardContextual"/>
              </w:rPr>
              <w:tab/>
            </w:r>
            <w:r w:rsidRPr="008C64ED">
              <w:rPr>
                <w:rStyle w:val="Hyperlink"/>
                <w:noProof/>
                <w:lang w:val="nl-NL"/>
              </w:rPr>
              <w:t>Huwelijk</w:t>
            </w:r>
            <w:r>
              <w:rPr>
                <w:noProof/>
                <w:webHidden/>
              </w:rPr>
              <w:tab/>
            </w:r>
            <w:r>
              <w:rPr>
                <w:noProof/>
                <w:webHidden/>
              </w:rPr>
              <w:fldChar w:fldCharType="begin"/>
            </w:r>
            <w:r>
              <w:rPr>
                <w:noProof/>
                <w:webHidden/>
              </w:rPr>
              <w:instrText xml:space="preserve"> PAGEREF _Toc167990467 \h </w:instrText>
            </w:r>
            <w:r>
              <w:rPr>
                <w:noProof/>
                <w:webHidden/>
              </w:rPr>
            </w:r>
            <w:r>
              <w:rPr>
                <w:noProof/>
                <w:webHidden/>
              </w:rPr>
              <w:fldChar w:fldCharType="separate"/>
            </w:r>
            <w:r>
              <w:rPr>
                <w:noProof/>
                <w:webHidden/>
              </w:rPr>
              <w:t>30</w:t>
            </w:r>
            <w:r>
              <w:rPr>
                <w:noProof/>
                <w:webHidden/>
              </w:rPr>
              <w:fldChar w:fldCharType="end"/>
            </w:r>
          </w:hyperlink>
        </w:p>
        <w:p w14:paraId="1BB55EFC"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68" w:history="1">
            <w:r w:rsidRPr="008C64ED">
              <w:rPr>
                <w:rStyle w:val="Hyperlink"/>
                <w:noProof/>
                <w:lang w:val="nl-NL"/>
              </w:rPr>
              <w:t>B.</w:t>
            </w:r>
            <w:r>
              <w:rPr>
                <w:rFonts w:eastAsiaTheme="minorEastAsia" w:cstheme="minorBidi"/>
                <w:noProof/>
                <w:kern w:val="2"/>
                <w:sz w:val="24"/>
                <w:szCs w:val="24"/>
                <w:lang w:eastAsia="nl-NL"/>
                <w14:ligatures w14:val="standardContextual"/>
              </w:rPr>
              <w:tab/>
            </w:r>
            <w:r w:rsidRPr="008C64ED">
              <w:rPr>
                <w:rStyle w:val="Hyperlink"/>
                <w:noProof/>
                <w:lang w:val="nl-NL"/>
              </w:rPr>
              <w:t>Wettelijke samenwoning</w:t>
            </w:r>
            <w:r>
              <w:rPr>
                <w:noProof/>
                <w:webHidden/>
              </w:rPr>
              <w:tab/>
            </w:r>
            <w:r>
              <w:rPr>
                <w:noProof/>
                <w:webHidden/>
              </w:rPr>
              <w:fldChar w:fldCharType="begin"/>
            </w:r>
            <w:r>
              <w:rPr>
                <w:noProof/>
                <w:webHidden/>
              </w:rPr>
              <w:instrText xml:space="preserve"> PAGEREF _Toc167990468 \h </w:instrText>
            </w:r>
            <w:r>
              <w:rPr>
                <w:noProof/>
                <w:webHidden/>
              </w:rPr>
            </w:r>
            <w:r>
              <w:rPr>
                <w:noProof/>
                <w:webHidden/>
              </w:rPr>
              <w:fldChar w:fldCharType="separate"/>
            </w:r>
            <w:r>
              <w:rPr>
                <w:noProof/>
                <w:webHidden/>
              </w:rPr>
              <w:t>31</w:t>
            </w:r>
            <w:r>
              <w:rPr>
                <w:noProof/>
                <w:webHidden/>
              </w:rPr>
              <w:fldChar w:fldCharType="end"/>
            </w:r>
          </w:hyperlink>
        </w:p>
        <w:p w14:paraId="1809ABB6"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69" w:history="1">
            <w:r w:rsidRPr="008C64ED">
              <w:rPr>
                <w:rStyle w:val="Hyperlink"/>
                <w:noProof/>
                <w:lang w:val="nl-NL"/>
              </w:rPr>
              <w:t>2.</w:t>
            </w:r>
            <w:r>
              <w:rPr>
                <w:rFonts w:eastAsiaTheme="minorEastAsia" w:cstheme="minorBidi"/>
                <w:noProof/>
                <w:kern w:val="2"/>
                <w:sz w:val="24"/>
                <w:szCs w:val="24"/>
                <w:lang w:eastAsia="nl-NL"/>
                <w14:ligatures w14:val="standardContextual"/>
              </w:rPr>
              <w:tab/>
            </w:r>
            <w:r w:rsidRPr="008C64ED">
              <w:rPr>
                <w:rStyle w:val="Hyperlink"/>
                <w:noProof/>
                <w:lang w:val="nl-NL"/>
              </w:rPr>
              <w:t>Conventioneel kader</w:t>
            </w:r>
            <w:r>
              <w:rPr>
                <w:noProof/>
                <w:webHidden/>
              </w:rPr>
              <w:tab/>
            </w:r>
            <w:r>
              <w:rPr>
                <w:noProof/>
                <w:webHidden/>
              </w:rPr>
              <w:fldChar w:fldCharType="begin"/>
            </w:r>
            <w:r>
              <w:rPr>
                <w:noProof/>
                <w:webHidden/>
              </w:rPr>
              <w:instrText xml:space="preserve"> PAGEREF _Toc167990469 \h </w:instrText>
            </w:r>
            <w:r>
              <w:rPr>
                <w:noProof/>
                <w:webHidden/>
              </w:rPr>
            </w:r>
            <w:r>
              <w:rPr>
                <w:noProof/>
                <w:webHidden/>
              </w:rPr>
              <w:fldChar w:fldCharType="separate"/>
            </w:r>
            <w:r>
              <w:rPr>
                <w:noProof/>
                <w:webHidden/>
              </w:rPr>
              <w:t>31</w:t>
            </w:r>
            <w:r>
              <w:rPr>
                <w:noProof/>
                <w:webHidden/>
              </w:rPr>
              <w:fldChar w:fldCharType="end"/>
            </w:r>
          </w:hyperlink>
        </w:p>
        <w:p w14:paraId="460D2781"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70"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Specifieke overeenkomst</w:t>
            </w:r>
            <w:r>
              <w:rPr>
                <w:noProof/>
                <w:webHidden/>
              </w:rPr>
              <w:tab/>
            </w:r>
            <w:r>
              <w:rPr>
                <w:noProof/>
                <w:webHidden/>
              </w:rPr>
              <w:fldChar w:fldCharType="begin"/>
            </w:r>
            <w:r>
              <w:rPr>
                <w:noProof/>
                <w:webHidden/>
              </w:rPr>
              <w:instrText xml:space="preserve"> PAGEREF _Toc167990470 \h </w:instrText>
            </w:r>
            <w:r>
              <w:rPr>
                <w:noProof/>
                <w:webHidden/>
              </w:rPr>
            </w:r>
            <w:r>
              <w:rPr>
                <w:noProof/>
                <w:webHidden/>
              </w:rPr>
              <w:fldChar w:fldCharType="separate"/>
            </w:r>
            <w:r>
              <w:rPr>
                <w:noProof/>
                <w:webHidden/>
              </w:rPr>
              <w:t>32</w:t>
            </w:r>
            <w:r>
              <w:rPr>
                <w:noProof/>
                <w:webHidden/>
              </w:rPr>
              <w:fldChar w:fldCharType="end"/>
            </w:r>
          </w:hyperlink>
        </w:p>
        <w:p w14:paraId="01B15729"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71" w:history="1">
            <w:r w:rsidRPr="008C64ED">
              <w:rPr>
                <w:rStyle w:val="Hyperlink"/>
                <w:noProof/>
                <w:lang w:val="nl-NL"/>
              </w:rPr>
              <w:t>B.</w:t>
            </w:r>
            <w:r>
              <w:rPr>
                <w:rFonts w:eastAsiaTheme="minorEastAsia" w:cstheme="minorBidi"/>
                <w:noProof/>
                <w:kern w:val="2"/>
                <w:sz w:val="24"/>
                <w:szCs w:val="24"/>
                <w:lang w:eastAsia="nl-NL"/>
                <w14:ligatures w14:val="standardContextual"/>
              </w:rPr>
              <w:tab/>
            </w:r>
            <w:r w:rsidRPr="008C64ED">
              <w:rPr>
                <w:rStyle w:val="Hyperlink"/>
                <w:noProof/>
                <w:lang w:val="nl-NL"/>
              </w:rPr>
              <w:t>Huwelijks- of samenlevingsovereenkomst</w:t>
            </w:r>
            <w:r>
              <w:rPr>
                <w:noProof/>
                <w:webHidden/>
              </w:rPr>
              <w:tab/>
            </w:r>
            <w:r>
              <w:rPr>
                <w:noProof/>
                <w:webHidden/>
              </w:rPr>
              <w:fldChar w:fldCharType="begin"/>
            </w:r>
            <w:r>
              <w:rPr>
                <w:noProof/>
                <w:webHidden/>
              </w:rPr>
              <w:instrText xml:space="preserve"> PAGEREF _Toc167990471 \h </w:instrText>
            </w:r>
            <w:r>
              <w:rPr>
                <w:noProof/>
                <w:webHidden/>
              </w:rPr>
            </w:r>
            <w:r>
              <w:rPr>
                <w:noProof/>
                <w:webHidden/>
              </w:rPr>
              <w:fldChar w:fldCharType="separate"/>
            </w:r>
            <w:r>
              <w:rPr>
                <w:noProof/>
                <w:webHidden/>
              </w:rPr>
              <w:t>33</w:t>
            </w:r>
            <w:r>
              <w:rPr>
                <w:noProof/>
                <w:webHidden/>
              </w:rPr>
              <w:fldChar w:fldCharType="end"/>
            </w:r>
          </w:hyperlink>
        </w:p>
        <w:p w14:paraId="0B696477"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72" w:history="1">
            <w:r w:rsidRPr="008C64ED">
              <w:rPr>
                <w:rStyle w:val="Hyperlink"/>
                <w:noProof/>
                <w:lang w:val="nl-NL"/>
              </w:rPr>
              <w:t>Hoofdstuk 4. Keuze van de duurtijd</w:t>
            </w:r>
            <w:r>
              <w:rPr>
                <w:noProof/>
                <w:webHidden/>
              </w:rPr>
              <w:tab/>
            </w:r>
            <w:r>
              <w:rPr>
                <w:noProof/>
                <w:webHidden/>
              </w:rPr>
              <w:fldChar w:fldCharType="begin"/>
            </w:r>
            <w:r>
              <w:rPr>
                <w:noProof/>
                <w:webHidden/>
              </w:rPr>
              <w:instrText xml:space="preserve"> PAGEREF _Toc167990472 \h </w:instrText>
            </w:r>
            <w:r>
              <w:rPr>
                <w:noProof/>
                <w:webHidden/>
              </w:rPr>
            </w:r>
            <w:r>
              <w:rPr>
                <w:noProof/>
                <w:webHidden/>
              </w:rPr>
              <w:fldChar w:fldCharType="separate"/>
            </w:r>
            <w:r>
              <w:rPr>
                <w:noProof/>
                <w:webHidden/>
              </w:rPr>
              <w:t>33</w:t>
            </w:r>
            <w:r>
              <w:rPr>
                <w:noProof/>
                <w:webHidden/>
              </w:rPr>
              <w:fldChar w:fldCharType="end"/>
            </w:r>
          </w:hyperlink>
        </w:p>
        <w:p w14:paraId="653FCEEB"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73" w:history="1">
            <w:r w:rsidRPr="008C64ED">
              <w:rPr>
                <w:rStyle w:val="Hyperlink"/>
                <w:noProof/>
                <w:lang w:val="nl-NL"/>
              </w:rPr>
              <w:t>Hoofdstuk 5. Wederzijdse rechten en verplichtingen</w:t>
            </w:r>
            <w:r>
              <w:rPr>
                <w:noProof/>
                <w:webHidden/>
              </w:rPr>
              <w:tab/>
            </w:r>
            <w:r>
              <w:rPr>
                <w:noProof/>
                <w:webHidden/>
              </w:rPr>
              <w:fldChar w:fldCharType="begin"/>
            </w:r>
            <w:r>
              <w:rPr>
                <w:noProof/>
                <w:webHidden/>
              </w:rPr>
              <w:instrText xml:space="preserve"> PAGEREF _Toc167990473 \h </w:instrText>
            </w:r>
            <w:r>
              <w:rPr>
                <w:noProof/>
                <w:webHidden/>
              </w:rPr>
            </w:r>
            <w:r>
              <w:rPr>
                <w:noProof/>
                <w:webHidden/>
              </w:rPr>
              <w:fldChar w:fldCharType="separate"/>
            </w:r>
            <w:r>
              <w:rPr>
                <w:noProof/>
                <w:webHidden/>
              </w:rPr>
              <w:t>34</w:t>
            </w:r>
            <w:r>
              <w:rPr>
                <w:noProof/>
                <w:webHidden/>
              </w:rPr>
              <w:fldChar w:fldCharType="end"/>
            </w:r>
          </w:hyperlink>
        </w:p>
        <w:p w14:paraId="5BF20C37"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74" w:history="1">
            <w:r w:rsidRPr="008C64ED">
              <w:rPr>
                <w:rStyle w:val="Hyperlink"/>
                <w:noProof/>
                <w:lang w:val="nl-NL"/>
              </w:rPr>
              <w:t>Hoofdstuk 6. Actoren en hun takenpakket</w:t>
            </w:r>
            <w:r>
              <w:rPr>
                <w:noProof/>
                <w:webHidden/>
              </w:rPr>
              <w:tab/>
            </w:r>
            <w:r>
              <w:rPr>
                <w:noProof/>
                <w:webHidden/>
              </w:rPr>
              <w:fldChar w:fldCharType="begin"/>
            </w:r>
            <w:r>
              <w:rPr>
                <w:noProof/>
                <w:webHidden/>
              </w:rPr>
              <w:instrText xml:space="preserve"> PAGEREF _Toc167990474 \h </w:instrText>
            </w:r>
            <w:r>
              <w:rPr>
                <w:noProof/>
                <w:webHidden/>
              </w:rPr>
            </w:r>
            <w:r>
              <w:rPr>
                <w:noProof/>
                <w:webHidden/>
              </w:rPr>
              <w:fldChar w:fldCharType="separate"/>
            </w:r>
            <w:r>
              <w:rPr>
                <w:noProof/>
                <w:webHidden/>
              </w:rPr>
              <w:t>36</w:t>
            </w:r>
            <w:r>
              <w:rPr>
                <w:noProof/>
                <w:webHidden/>
              </w:rPr>
              <w:fldChar w:fldCharType="end"/>
            </w:r>
          </w:hyperlink>
        </w:p>
        <w:p w14:paraId="6FCB7863"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75" w:history="1">
            <w:r w:rsidRPr="008C64ED">
              <w:rPr>
                <w:rStyle w:val="Hyperlink"/>
                <w:noProof/>
                <w:lang w:val="nl-NL"/>
              </w:rPr>
              <w:t>1.</w:t>
            </w:r>
            <w:r>
              <w:rPr>
                <w:rFonts w:eastAsiaTheme="minorEastAsia" w:cstheme="minorBidi"/>
                <w:noProof/>
                <w:kern w:val="2"/>
                <w:sz w:val="24"/>
                <w:szCs w:val="24"/>
                <w:lang w:eastAsia="nl-NL"/>
                <w14:ligatures w14:val="standardContextual"/>
              </w:rPr>
              <w:tab/>
            </w:r>
            <w:r w:rsidRPr="008C64ED">
              <w:rPr>
                <w:rStyle w:val="Hyperlink"/>
                <w:noProof/>
                <w:lang w:val="nl-NL"/>
              </w:rPr>
              <w:t>Rol van de notaris</w:t>
            </w:r>
            <w:r>
              <w:rPr>
                <w:noProof/>
                <w:webHidden/>
              </w:rPr>
              <w:tab/>
            </w:r>
            <w:r>
              <w:rPr>
                <w:noProof/>
                <w:webHidden/>
              </w:rPr>
              <w:fldChar w:fldCharType="begin"/>
            </w:r>
            <w:r>
              <w:rPr>
                <w:noProof/>
                <w:webHidden/>
              </w:rPr>
              <w:instrText xml:space="preserve"> PAGEREF _Toc167990475 \h </w:instrText>
            </w:r>
            <w:r>
              <w:rPr>
                <w:noProof/>
                <w:webHidden/>
              </w:rPr>
            </w:r>
            <w:r>
              <w:rPr>
                <w:noProof/>
                <w:webHidden/>
              </w:rPr>
              <w:fldChar w:fldCharType="separate"/>
            </w:r>
            <w:r>
              <w:rPr>
                <w:noProof/>
                <w:webHidden/>
              </w:rPr>
              <w:t>36</w:t>
            </w:r>
            <w:r>
              <w:rPr>
                <w:noProof/>
                <w:webHidden/>
              </w:rPr>
              <w:fldChar w:fldCharType="end"/>
            </w:r>
          </w:hyperlink>
        </w:p>
        <w:p w14:paraId="6BD66912"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76" w:history="1">
            <w:r w:rsidRPr="008C64ED">
              <w:rPr>
                <w:rStyle w:val="Hyperlink"/>
                <w:noProof/>
                <w:lang w:val="nl-NL"/>
              </w:rPr>
              <w:t>2.</w:t>
            </w:r>
            <w:r>
              <w:rPr>
                <w:rFonts w:eastAsiaTheme="minorEastAsia" w:cstheme="minorBidi"/>
                <w:noProof/>
                <w:kern w:val="2"/>
                <w:sz w:val="24"/>
                <w:szCs w:val="24"/>
                <w:lang w:eastAsia="nl-NL"/>
                <w14:ligatures w14:val="standardContextual"/>
              </w:rPr>
              <w:tab/>
            </w:r>
            <w:r w:rsidRPr="008C64ED">
              <w:rPr>
                <w:rStyle w:val="Hyperlink"/>
                <w:noProof/>
                <w:lang w:val="nl-NL"/>
              </w:rPr>
              <w:t>Rol van rechter en ambtenaar burgerlijke stand</w:t>
            </w:r>
            <w:r>
              <w:rPr>
                <w:noProof/>
                <w:webHidden/>
              </w:rPr>
              <w:tab/>
            </w:r>
            <w:r>
              <w:rPr>
                <w:noProof/>
                <w:webHidden/>
              </w:rPr>
              <w:fldChar w:fldCharType="begin"/>
            </w:r>
            <w:r>
              <w:rPr>
                <w:noProof/>
                <w:webHidden/>
              </w:rPr>
              <w:instrText xml:space="preserve"> PAGEREF _Toc167990476 \h </w:instrText>
            </w:r>
            <w:r>
              <w:rPr>
                <w:noProof/>
                <w:webHidden/>
              </w:rPr>
            </w:r>
            <w:r>
              <w:rPr>
                <w:noProof/>
                <w:webHidden/>
              </w:rPr>
              <w:fldChar w:fldCharType="separate"/>
            </w:r>
            <w:r>
              <w:rPr>
                <w:noProof/>
                <w:webHidden/>
              </w:rPr>
              <w:t>37</w:t>
            </w:r>
            <w:r>
              <w:rPr>
                <w:noProof/>
                <w:webHidden/>
              </w:rPr>
              <w:fldChar w:fldCharType="end"/>
            </w:r>
          </w:hyperlink>
        </w:p>
        <w:p w14:paraId="1B89C22A"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77" w:history="1">
            <w:r w:rsidRPr="008C64ED">
              <w:rPr>
                <w:rStyle w:val="Hyperlink"/>
                <w:noProof/>
                <w:lang w:val="nl-NL"/>
              </w:rPr>
              <w:t>Hoofdstuk 7. Registratie</w:t>
            </w:r>
            <w:r>
              <w:rPr>
                <w:noProof/>
                <w:webHidden/>
              </w:rPr>
              <w:tab/>
            </w:r>
            <w:r>
              <w:rPr>
                <w:noProof/>
                <w:webHidden/>
              </w:rPr>
              <w:fldChar w:fldCharType="begin"/>
            </w:r>
            <w:r>
              <w:rPr>
                <w:noProof/>
                <w:webHidden/>
              </w:rPr>
              <w:instrText xml:space="preserve"> PAGEREF _Toc167990477 \h </w:instrText>
            </w:r>
            <w:r>
              <w:rPr>
                <w:noProof/>
                <w:webHidden/>
              </w:rPr>
            </w:r>
            <w:r>
              <w:rPr>
                <w:noProof/>
                <w:webHidden/>
              </w:rPr>
              <w:fldChar w:fldCharType="separate"/>
            </w:r>
            <w:r>
              <w:rPr>
                <w:noProof/>
                <w:webHidden/>
              </w:rPr>
              <w:t>38</w:t>
            </w:r>
            <w:r>
              <w:rPr>
                <w:noProof/>
                <w:webHidden/>
              </w:rPr>
              <w:fldChar w:fldCharType="end"/>
            </w:r>
          </w:hyperlink>
        </w:p>
        <w:p w14:paraId="0EEA8B05"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78" w:history="1">
            <w:r w:rsidRPr="008C64ED">
              <w:rPr>
                <w:rStyle w:val="Hyperlink"/>
                <w:noProof/>
              </w:rPr>
              <w:t>Hoofdstuk 8. Verlenging, vernieuwing en hernieuwing</w:t>
            </w:r>
            <w:r>
              <w:rPr>
                <w:noProof/>
                <w:webHidden/>
              </w:rPr>
              <w:tab/>
            </w:r>
            <w:r>
              <w:rPr>
                <w:noProof/>
                <w:webHidden/>
              </w:rPr>
              <w:fldChar w:fldCharType="begin"/>
            </w:r>
            <w:r>
              <w:rPr>
                <w:noProof/>
                <w:webHidden/>
              </w:rPr>
              <w:instrText xml:space="preserve"> PAGEREF _Toc167990478 \h </w:instrText>
            </w:r>
            <w:r>
              <w:rPr>
                <w:noProof/>
                <w:webHidden/>
              </w:rPr>
            </w:r>
            <w:r>
              <w:rPr>
                <w:noProof/>
                <w:webHidden/>
              </w:rPr>
              <w:fldChar w:fldCharType="separate"/>
            </w:r>
            <w:r>
              <w:rPr>
                <w:noProof/>
                <w:webHidden/>
              </w:rPr>
              <w:t>40</w:t>
            </w:r>
            <w:r>
              <w:rPr>
                <w:noProof/>
                <w:webHidden/>
              </w:rPr>
              <w:fldChar w:fldCharType="end"/>
            </w:r>
          </w:hyperlink>
        </w:p>
        <w:p w14:paraId="56E3F66A"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79" w:history="1">
            <w:r w:rsidRPr="008C64ED">
              <w:rPr>
                <w:rStyle w:val="Hyperlink"/>
                <w:noProof/>
              </w:rPr>
              <w:t>1.</w:t>
            </w:r>
            <w:r>
              <w:rPr>
                <w:rFonts w:eastAsiaTheme="minorEastAsia" w:cstheme="minorBidi"/>
                <w:noProof/>
                <w:kern w:val="2"/>
                <w:sz w:val="24"/>
                <w:szCs w:val="24"/>
                <w:lang w:eastAsia="nl-NL"/>
                <w14:ligatures w14:val="standardContextual"/>
              </w:rPr>
              <w:tab/>
            </w:r>
            <w:r w:rsidRPr="008C64ED">
              <w:rPr>
                <w:rStyle w:val="Hyperlink"/>
                <w:noProof/>
              </w:rPr>
              <w:t>Verlenging en vernieuwing</w:t>
            </w:r>
            <w:r>
              <w:rPr>
                <w:noProof/>
                <w:webHidden/>
              </w:rPr>
              <w:tab/>
            </w:r>
            <w:r>
              <w:rPr>
                <w:noProof/>
                <w:webHidden/>
              </w:rPr>
              <w:fldChar w:fldCharType="begin"/>
            </w:r>
            <w:r>
              <w:rPr>
                <w:noProof/>
                <w:webHidden/>
              </w:rPr>
              <w:instrText xml:space="preserve"> PAGEREF _Toc167990479 \h </w:instrText>
            </w:r>
            <w:r>
              <w:rPr>
                <w:noProof/>
                <w:webHidden/>
              </w:rPr>
            </w:r>
            <w:r>
              <w:rPr>
                <w:noProof/>
                <w:webHidden/>
              </w:rPr>
              <w:fldChar w:fldCharType="separate"/>
            </w:r>
            <w:r>
              <w:rPr>
                <w:noProof/>
                <w:webHidden/>
              </w:rPr>
              <w:t>40</w:t>
            </w:r>
            <w:r>
              <w:rPr>
                <w:noProof/>
                <w:webHidden/>
              </w:rPr>
              <w:fldChar w:fldCharType="end"/>
            </w:r>
          </w:hyperlink>
        </w:p>
        <w:p w14:paraId="027111CF"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80"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Conventionele verlenging</w:t>
            </w:r>
            <w:r>
              <w:rPr>
                <w:noProof/>
                <w:webHidden/>
              </w:rPr>
              <w:tab/>
            </w:r>
            <w:r>
              <w:rPr>
                <w:noProof/>
                <w:webHidden/>
              </w:rPr>
              <w:fldChar w:fldCharType="begin"/>
            </w:r>
            <w:r>
              <w:rPr>
                <w:noProof/>
                <w:webHidden/>
              </w:rPr>
              <w:instrText xml:space="preserve"> PAGEREF _Toc167990480 \h </w:instrText>
            </w:r>
            <w:r>
              <w:rPr>
                <w:noProof/>
                <w:webHidden/>
              </w:rPr>
            </w:r>
            <w:r>
              <w:rPr>
                <w:noProof/>
                <w:webHidden/>
              </w:rPr>
              <w:fldChar w:fldCharType="separate"/>
            </w:r>
            <w:r>
              <w:rPr>
                <w:noProof/>
                <w:webHidden/>
              </w:rPr>
              <w:t>41</w:t>
            </w:r>
            <w:r>
              <w:rPr>
                <w:noProof/>
                <w:webHidden/>
              </w:rPr>
              <w:fldChar w:fldCharType="end"/>
            </w:r>
          </w:hyperlink>
        </w:p>
        <w:p w14:paraId="46C4E8BF"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81" w:history="1">
            <w:r w:rsidRPr="008C64ED">
              <w:rPr>
                <w:rStyle w:val="Hyperlink"/>
                <w:noProof/>
              </w:rPr>
              <w:t>B.</w:t>
            </w:r>
            <w:r>
              <w:rPr>
                <w:rFonts w:eastAsiaTheme="minorEastAsia" w:cstheme="minorBidi"/>
                <w:noProof/>
                <w:kern w:val="2"/>
                <w:sz w:val="24"/>
                <w:szCs w:val="24"/>
                <w:lang w:eastAsia="nl-NL"/>
                <w14:ligatures w14:val="standardContextual"/>
              </w:rPr>
              <w:tab/>
            </w:r>
            <w:r w:rsidRPr="008C64ED">
              <w:rPr>
                <w:rStyle w:val="Hyperlink"/>
                <w:noProof/>
              </w:rPr>
              <w:t>Uitdrukkelijke vernieuwing</w:t>
            </w:r>
            <w:r>
              <w:rPr>
                <w:noProof/>
                <w:webHidden/>
              </w:rPr>
              <w:tab/>
            </w:r>
            <w:r>
              <w:rPr>
                <w:noProof/>
                <w:webHidden/>
              </w:rPr>
              <w:fldChar w:fldCharType="begin"/>
            </w:r>
            <w:r>
              <w:rPr>
                <w:noProof/>
                <w:webHidden/>
              </w:rPr>
              <w:instrText xml:space="preserve"> PAGEREF _Toc167990481 \h </w:instrText>
            </w:r>
            <w:r>
              <w:rPr>
                <w:noProof/>
                <w:webHidden/>
              </w:rPr>
            </w:r>
            <w:r>
              <w:rPr>
                <w:noProof/>
                <w:webHidden/>
              </w:rPr>
              <w:fldChar w:fldCharType="separate"/>
            </w:r>
            <w:r>
              <w:rPr>
                <w:noProof/>
                <w:webHidden/>
              </w:rPr>
              <w:t>43</w:t>
            </w:r>
            <w:r>
              <w:rPr>
                <w:noProof/>
                <w:webHidden/>
              </w:rPr>
              <w:fldChar w:fldCharType="end"/>
            </w:r>
          </w:hyperlink>
        </w:p>
        <w:p w14:paraId="0B21CA39"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82" w:history="1">
            <w:r w:rsidRPr="008C64ED">
              <w:rPr>
                <w:rStyle w:val="Hyperlink"/>
                <w:noProof/>
              </w:rPr>
              <w:t>C.</w:t>
            </w:r>
            <w:r>
              <w:rPr>
                <w:rFonts w:eastAsiaTheme="minorEastAsia" w:cstheme="minorBidi"/>
                <w:noProof/>
                <w:kern w:val="2"/>
                <w:sz w:val="24"/>
                <w:szCs w:val="24"/>
                <w:lang w:eastAsia="nl-NL"/>
                <w14:ligatures w14:val="standardContextual"/>
              </w:rPr>
              <w:tab/>
            </w:r>
            <w:r w:rsidRPr="008C64ED">
              <w:rPr>
                <w:rStyle w:val="Hyperlink"/>
                <w:noProof/>
              </w:rPr>
              <w:t>Stilzwijgende vernieuwing</w:t>
            </w:r>
            <w:r>
              <w:rPr>
                <w:noProof/>
                <w:webHidden/>
              </w:rPr>
              <w:tab/>
            </w:r>
            <w:r>
              <w:rPr>
                <w:noProof/>
                <w:webHidden/>
              </w:rPr>
              <w:fldChar w:fldCharType="begin"/>
            </w:r>
            <w:r>
              <w:rPr>
                <w:noProof/>
                <w:webHidden/>
              </w:rPr>
              <w:instrText xml:space="preserve"> PAGEREF _Toc167990482 \h </w:instrText>
            </w:r>
            <w:r>
              <w:rPr>
                <w:noProof/>
                <w:webHidden/>
              </w:rPr>
            </w:r>
            <w:r>
              <w:rPr>
                <w:noProof/>
                <w:webHidden/>
              </w:rPr>
              <w:fldChar w:fldCharType="separate"/>
            </w:r>
            <w:r>
              <w:rPr>
                <w:noProof/>
                <w:webHidden/>
              </w:rPr>
              <w:t>44</w:t>
            </w:r>
            <w:r>
              <w:rPr>
                <w:noProof/>
                <w:webHidden/>
              </w:rPr>
              <w:fldChar w:fldCharType="end"/>
            </w:r>
          </w:hyperlink>
        </w:p>
        <w:p w14:paraId="2A57A73A"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83" w:history="1">
            <w:r w:rsidRPr="008C64ED">
              <w:rPr>
                <w:rStyle w:val="Hyperlink"/>
                <w:noProof/>
              </w:rPr>
              <w:t>2.</w:t>
            </w:r>
            <w:r>
              <w:rPr>
                <w:rFonts w:eastAsiaTheme="minorEastAsia" w:cstheme="minorBidi"/>
                <w:noProof/>
                <w:kern w:val="2"/>
                <w:sz w:val="24"/>
                <w:szCs w:val="24"/>
                <w:lang w:eastAsia="nl-NL"/>
                <w14:ligatures w14:val="standardContextual"/>
              </w:rPr>
              <w:tab/>
            </w:r>
            <w:r w:rsidRPr="008C64ED">
              <w:rPr>
                <w:rStyle w:val="Hyperlink"/>
                <w:noProof/>
              </w:rPr>
              <w:t>Hernieuwing</w:t>
            </w:r>
            <w:r>
              <w:rPr>
                <w:noProof/>
                <w:webHidden/>
              </w:rPr>
              <w:tab/>
            </w:r>
            <w:r>
              <w:rPr>
                <w:noProof/>
                <w:webHidden/>
              </w:rPr>
              <w:fldChar w:fldCharType="begin"/>
            </w:r>
            <w:r>
              <w:rPr>
                <w:noProof/>
                <w:webHidden/>
              </w:rPr>
              <w:instrText xml:space="preserve"> PAGEREF _Toc167990483 \h </w:instrText>
            </w:r>
            <w:r>
              <w:rPr>
                <w:noProof/>
                <w:webHidden/>
              </w:rPr>
            </w:r>
            <w:r>
              <w:rPr>
                <w:noProof/>
                <w:webHidden/>
              </w:rPr>
              <w:fldChar w:fldCharType="separate"/>
            </w:r>
            <w:r>
              <w:rPr>
                <w:noProof/>
                <w:webHidden/>
              </w:rPr>
              <w:t>47</w:t>
            </w:r>
            <w:r>
              <w:rPr>
                <w:noProof/>
                <w:webHidden/>
              </w:rPr>
              <w:fldChar w:fldCharType="end"/>
            </w:r>
          </w:hyperlink>
        </w:p>
        <w:p w14:paraId="7FB73096"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84"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Hernieuwing voor bepaalde duur</w:t>
            </w:r>
            <w:r>
              <w:rPr>
                <w:noProof/>
                <w:webHidden/>
              </w:rPr>
              <w:tab/>
            </w:r>
            <w:r>
              <w:rPr>
                <w:noProof/>
                <w:webHidden/>
              </w:rPr>
              <w:fldChar w:fldCharType="begin"/>
            </w:r>
            <w:r>
              <w:rPr>
                <w:noProof/>
                <w:webHidden/>
              </w:rPr>
              <w:instrText xml:space="preserve"> PAGEREF _Toc167990484 \h </w:instrText>
            </w:r>
            <w:r>
              <w:rPr>
                <w:noProof/>
                <w:webHidden/>
              </w:rPr>
            </w:r>
            <w:r>
              <w:rPr>
                <w:noProof/>
                <w:webHidden/>
              </w:rPr>
              <w:fldChar w:fldCharType="separate"/>
            </w:r>
            <w:r>
              <w:rPr>
                <w:noProof/>
                <w:webHidden/>
              </w:rPr>
              <w:t>47</w:t>
            </w:r>
            <w:r>
              <w:rPr>
                <w:noProof/>
                <w:webHidden/>
              </w:rPr>
              <w:fldChar w:fldCharType="end"/>
            </w:r>
          </w:hyperlink>
        </w:p>
        <w:p w14:paraId="31CFE680"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85" w:history="1">
            <w:r w:rsidRPr="008C64ED">
              <w:rPr>
                <w:rStyle w:val="Hyperlink"/>
                <w:noProof/>
              </w:rPr>
              <w:t>B.</w:t>
            </w:r>
            <w:r>
              <w:rPr>
                <w:rFonts w:eastAsiaTheme="minorEastAsia" w:cstheme="minorBidi"/>
                <w:noProof/>
                <w:kern w:val="2"/>
                <w:sz w:val="24"/>
                <w:szCs w:val="24"/>
                <w:lang w:eastAsia="nl-NL"/>
                <w14:ligatures w14:val="standardContextual"/>
              </w:rPr>
              <w:tab/>
            </w:r>
            <w:r w:rsidRPr="008C64ED">
              <w:rPr>
                <w:rStyle w:val="Hyperlink"/>
                <w:noProof/>
              </w:rPr>
              <w:t>Hernieuwing voor onbepaalde duur</w:t>
            </w:r>
            <w:r>
              <w:rPr>
                <w:noProof/>
                <w:webHidden/>
              </w:rPr>
              <w:tab/>
            </w:r>
            <w:r>
              <w:rPr>
                <w:noProof/>
                <w:webHidden/>
              </w:rPr>
              <w:fldChar w:fldCharType="begin"/>
            </w:r>
            <w:r>
              <w:rPr>
                <w:noProof/>
                <w:webHidden/>
              </w:rPr>
              <w:instrText xml:space="preserve"> PAGEREF _Toc167990485 \h </w:instrText>
            </w:r>
            <w:r>
              <w:rPr>
                <w:noProof/>
                <w:webHidden/>
              </w:rPr>
            </w:r>
            <w:r>
              <w:rPr>
                <w:noProof/>
                <w:webHidden/>
              </w:rPr>
              <w:fldChar w:fldCharType="separate"/>
            </w:r>
            <w:r>
              <w:rPr>
                <w:noProof/>
                <w:webHidden/>
              </w:rPr>
              <w:t>49</w:t>
            </w:r>
            <w:r>
              <w:rPr>
                <w:noProof/>
                <w:webHidden/>
              </w:rPr>
              <w:fldChar w:fldCharType="end"/>
            </w:r>
          </w:hyperlink>
        </w:p>
        <w:p w14:paraId="0FCA87A8"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86" w:history="1">
            <w:r w:rsidRPr="008C64ED">
              <w:rPr>
                <w:rStyle w:val="Hyperlink"/>
                <w:noProof/>
              </w:rPr>
              <w:t>Hoofdstuk 9. Opeenvolgende relatievormen van bepaalde duur</w:t>
            </w:r>
            <w:r>
              <w:rPr>
                <w:noProof/>
                <w:webHidden/>
              </w:rPr>
              <w:tab/>
            </w:r>
            <w:r>
              <w:rPr>
                <w:noProof/>
                <w:webHidden/>
              </w:rPr>
              <w:fldChar w:fldCharType="begin"/>
            </w:r>
            <w:r>
              <w:rPr>
                <w:noProof/>
                <w:webHidden/>
              </w:rPr>
              <w:instrText xml:space="preserve"> PAGEREF _Toc167990486 \h </w:instrText>
            </w:r>
            <w:r>
              <w:rPr>
                <w:noProof/>
                <w:webHidden/>
              </w:rPr>
            </w:r>
            <w:r>
              <w:rPr>
                <w:noProof/>
                <w:webHidden/>
              </w:rPr>
              <w:fldChar w:fldCharType="separate"/>
            </w:r>
            <w:r>
              <w:rPr>
                <w:noProof/>
                <w:webHidden/>
              </w:rPr>
              <w:t>51</w:t>
            </w:r>
            <w:r>
              <w:rPr>
                <w:noProof/>
                <w:webHidden/>
              </w:rPr>
              <w:fldChar w:fldCharType="end"/>
            </w:r>
          </w:hyperlink>
        </w:p>
        <w:p w14:paraId="67C2F2A0"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87" w:history="1">
            <w:r w:rsidRPr="008C64ED">
              <w:rPr>
                <w:rStyle w:val="Hyperlink"/>
                <w:noProof/>
              </w:rPr>
              <w:t>Hoofdstuk 10. Beëindiging</w:t>
            </w:r>
            <w:r>
              <w:rPr>
                <w:noProof/>
                <w:webHidden/>
              </w:rPr>
              <w:tab/>
            </w:r>
            <w:r>
              <w:rPr>
                <w:noProof/>
                <w:webHidden/>
              </w:rPr>
              <w:fldChar w:fldCharType="begin"/>
            </w:r>
            <w:r>
              <w:rPr>
                <w:noProof/>
                <w:webHidden/>
              </w:rPr>
              <w:instrText xml:space="preserve"> PAGEREF _Toc167990487 \h </w:instrText>
            </w:r>
            <w:r>
              <w:rPr>
                <w:noProof/>
                <w:webHidden/>
              </w:rPr>
            </w:r>
            <w:r>
              <w:rPr>
                <w:noProof/>
                <w:webHidden/>
              </w:rPr>
              <w:fldChar w:fldCharType="separate"/>
            </w:r>
            <w:r>
              <w:rPr>
                <w:noProof/>
                <w:webHidden/>
              </w:rPr>
              <w:t>52</w:t>
            </w:r>
            <w:r>
              <w:rPr>
                <w:noProof/>
                <w:webHidden/>
              </w:rPr>
              <w:fldChar w:fldCharType="end"/>
            </w:r>
          </w:hyperlink>
        </w:p>
        <w:p w14:paraId="3CE2BF9D"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88" w:history="1">
            <w:r w:rsidRPr="008C64ED">
              <w:rPr>
                <w:rStyle w:val="Hyperlink"/>
                <w:noProof/>
              </w:rPr>
              <w:t>1.</w:t>
            </w:r>
            <w:r>
              <w:rPr>
                <w:rFonts w:eastAsiaTheme="minorEastAsia" w:cstheme="minorBidi"/>
                <w:noProof/>
                <w:kern w:val="2"/>
                <w:sz w:val="24"/>
                <w:szCs w:val="24"/>
                <w:lang w:eastAsia="nl-NL"/>
                <w14:ligatures w14:val="standardContextual"/>
              </w:rPr>
              <w:tab/>
            </w:r>
            <w:r w:rsidRPr="008C64ED">
              <w:rPr>
                <w:rStyle w:val="Hyperlink"/>
                <w:noProof/>
              </w:rPr>
              <w:t>Voortijdige beëindiging</w:t>
            </w:r>
            <w:r>
              <w:rPr>
                <w:noProof/>
                <w:webHidden/>
              </w:rPr>
              <w:tab/>
            </w:r>
            <w:r>
              <w:rPr>
                <w:noProof/>
                <w:webHidden/>
              </w:rPr>
              <w:fldChar w:fldCharType="begin"/>
            </w:r>
            <w:r>
              <w:rPr>
                <w:noProof/>
                <w:webHidden/>
              </w:rPr>
              <w:instrText xml:space="preserve"> PAGEREF _Toc167990488 \h </w:instrText>
            </w:r>
            <w:r>
              <w:rPr>
                <w:noProof/>
                <w:webHidden/>
              </w:rPr>
            </w:r>
            <w:r>
              <w:rPr>
                <w:noProof/>
                <w:webHidden/>
              </w:rPr>
              <w:fldChar w:fldCharType="separate"/>
            </w:r>
            <w:r>
              <w:rPr>
                <w:noProof/>
                <w:webHidden/>
              </w:rPr>
              <w:t>52</w:t>
            </w:r>
            <w:r>
              <w:rPr>
                <w:noProof/>
                <w:webHidden/>
              </w:rPr>
              <w:fldChar w:fldCharType="end"/>
            </w:r>
          </w:hyperlink>
        </w:p>
        <w:p w14:paraId="61DDBB8E"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89" w:history="1">
            <w:r w:rsidRPr="008C64ED">
              <w:rPr>
                <w:rStyle w:val="Hyperlink"/>
                <w:noProof/>
              </w:rPr>
              <w:t>2.</w:t>
            </w:r>
            <w:r>
              <w:rPr>
                <w:rFonts w:eastAsiaTheme="minorEastAsia" w:cstheme="minorBidi"/>
                <w:noProof/>
                <w:kern w:val="2"/>
                <w:sz w:val="24"/>
                <w:szCs w:val="24"/>
                <w:lang w:eastAsia="nl-NL"/>
                <w14:ligatures w14:val="standardContextual"/>
              </w:rPr>
              <w:tab/>
            </w:r>
            <w:r w:rsidRPr="008C64ED">
              <w:rPr>
                <w:rStyle w:val="Hyperlink"/>
                <w:noProof/>
                <w:lang w:val="nl-NL"/>
              </w:rPr>
              <w:t>Bij verstrijken tijdsbepaling</w:t>
            </w:r>
            <w:r>
              <w:rPr>
                <w:noProof/>
                <w:webHidden/>
              </w:rPr>
              <w:tab/>
            </w:r>
            <w:r>
              <w:rPr>
                <w:noProof/>
                <w:webHidden/>
              </w:rPr>
              <w:fldChar w:fldCharType="begin"/>
            </w:r>
            <w:r>
              <w:rPr>
                <w:noProof/>
                <w:webHidden/>
              </w:rPr>
              <w:instrText xml:space="preserve"> PAGEREF _Toc167990489 \h </w:instrText>
            </w:r>
            <w:r>
              <w:rPr>
                <w:noProof/>
                <w:webHidden/>
              </w:rPr>
            </w:r>
            <w:r>
              <w:rPr>
                <w:noProof/>
                <w:webHidden/>
              </w:rPr>
              <w:fldChar w:fldCharType="separate"/>
            </w:r>
            <w:r>
              <w:rPr>
                <w:noProof/>
                <w:webHidden/>
              </w:rPr>
              <w:t>53</w:t>
            </w:r>
            <w:r>
              <w:rPr>
                <w:noProof/>
                <w:webHidden/>
              </w:rPr>
              <w:fldChar w:fldCharType="end"/>
            </w:r>
          </w:hyperlink>
        </w:p>
        <w:p w14:paraId="12712868"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90" w:history="1">
            <w:r w:rsidRPr="008C64ED">
              <w:rPr>
                <w:rStyle w:val="Hyperlink"/>
                <w:noProof/>
              </w:rPr>
              <w:t>Hoofdstuk 11. Wachttermijnen</w:t>
            </w:r>
            <w:r>
              <w:rPr>
                <w:noProof/>
                <w:webHidden/>
              </w:rPr>
              <w:tab/>
            </w:r>
            <w:r>
              <w:rPr>
                <w:noProof/>
                <w:webHidden/>
              </w:rPr>
              <w:fldChar w:fldCharType="begin"/>
            </w:r>
            <w:r>
              <w:rPr>
                <w:noProof/>
                <w:webHidden/>
              </w:rPr>
              <w:instrText xml:space="preserve"> PAGEREF _Toc167990490 \h </w:instrText>
            </w:r>
            <w:r>
              <w:rPr>
                <w:noProof/>
                <w:webHidden/>
              </w:rPr>
            </w:r>
            <w:r>
              <w:rPr>
                <w:noProof/>
                <w:webHidden/>
              </w:rPr>
              <w:fldChar w:fldCharType="separate"/>
            </w:r>
            <w:r>
              <w:rPr>
                <w:noProof/>
                <w:webHidden/>
              </w:rPr>
              <w:t>54</w:t>
            </w:r>
            <w:r>
              <w:rPr>
                <w:noProof/>
                <w:webHidden/>
              </w:rPr>
              <w:fldChar w:fldCharType="end"/>
            </w:r>
          </w:hyperlink>
        </w:p>
        <w:p w14:paraId="1A27CDE3"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91" w:history="1">
            <w:r w:rsidRPr="008C64ED">
              <w:rPr>
                <w:rStyle w:val="Hyperlink"/>
                <w:noProof/>
              </w:rPr>
              <w:t>Hoofdstuk 12. Gevolgen beëindiging</w:t>
            </w:r>
            <w:r>
              <w:rPr>
                <w:noProof/>
                <w:webHidden/>
              </w:rPr>
              <w:tab/>
            </w:r>
            <w:r>
              <w:rPr>
                <w:noProof/>
                <w:webHidden/>
              </w:rPr>
              <w:fldChar w:fldCharType="begin"/>
            </w:r>
            <w:r>
              <w:rPr>
                <w:noProof/>
                <w:webHidden/>
              </w:rPr>
              <w:instrText xml:space="preserve"> PAGEREF _Toc167990491 \h </w:instrText>
            </w:r>
            <w:r>
              <w:rPr>
                <w:noProof/>
                <w:webHidden/>
              </w:rPr>
            </w:r>
            <w:r>
              <w:rPr>
                <w:noProof/>
                <w:webHidden/>
              </w:rPr>
              <w:fldChar w:fldCharType="separate"/>
            </w:r>
            <w:r>
              <w:rPr>
                <w:noProof/>
                <w:webHidden/>
              </w:rPr>
              <w:t>55</w:t>
            </w:r>
            <w:r>
              <w:rPr>
                <w:noProof/>
                <w:webHidden/>
              </w:rPr>
              <w:fldChar w:fldCharType="end"/>
            </w:r>
          </w:hyperlink>
        </w:p>
        <w:p w14:paraId="04124879"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92" w:history="1">
            <w:r w:rsidRPr="008C64ED">
              <w:rPr>
                <w:rStyle w:val="Hyperlink"/>
                <w:noProof/>
              </w:rPr>
              <w:t>1.</w:t>
            </w:r>
            <w:r>
              <w:rPr>
                <w:rFonts w:eastAsiaTheme="minorEastAsia" w:cstheme="minorBidi"/>
                <w:noProof/>
                <w:kern w:val="2"/>
                <w:sz w:val="24"/>
                <w:szCs w:val="24"/>
                <w:lang w:eastAsia="nl-NL"/>
                <w14:ligatures w14:val="standardContextual"/>
              </w:rPr>
              <w:tab/>
            </w:r>
            <w:r w:rsidRPr="008C64ED">
              <w:rPr>
                <w:rStyle w:val="Hyperlink"/>
                <w:noProof/>
              </w:rPr>
              <w:t>Huwelijk</w:t>
            </w:r>
            <w:r>
              <w:rPr>
                <w:noProof/>
                <w:webHidden/>
              </w:rPr>
              <w:tab/>
            </w:r>
            <w:r>
              <w:rPr>
                <w:noProof/>
                <w:webHidden/>
              </w:rPr>
              <w:fldChar w:fldCharType="begin"/>
            </w:r>
            <w:r>
              <w:rPr>
                <w:noProof/>
                <w:webHidden/>
              </w:rPr>
              <w:instrText xml:space="preserve"> PAGEREF _Toc167990492 \h </w:instrText>
            </w:r>
            <w:r>
              <w:rPr>
                <w:noProof/>
                <w:webHidden/>
              </w:rPr>
            </w:r>
            <w:r>
              <w:rPr>
                <w:noProof/>
                <w:webHidden/>
              </w:rPr>
              <w:fldChar w:fldCharType="separate"/>
            </w:r>
            <w:r>
              <w:rPr>
                <w:noProof/>
                <w:webHidden/>
              </w:rPr>
              <w:t>56</w:t>
            </w:r>
            <w:r>
              <w:rPr>
                <w:noProof/>
                <w:webHidden/>
              </w:rPr>
              <w:fldChar w:fldCharType="end"/>
            </w:r>
          </w:hyperlink>
        </w:p>
        <w:p w14:paraId="4C72F69D"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93"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Vereffening en verdeling huwelijksvermogensstelsel</w:t>
            </w:r>
            <w:r>
              <w:rPr>
                <w:noProof/>
                <w:webHidden/>
              </w:rPr>
              <w:tab/>
            </w:r>
            <w:r>
              <w:rPr>
                <w:noProof/>
                <w:webHidden/>
              </w:rPr>
              <w:fldChar w:fldCharType="begin"/>
            </w:r>
            <w:r>
              <w:rPr>
                <w:noProof/>
                <w:webHidden/>
              </w:rPr>
              <w:instrText xml:space="preserve"> PAGEREF _Toc167990493 \h </w:instrText>
            </w:r>
            <w:r>
              <w:rPr>
                <w:noProof/>
                <w:webHidden/>
              </w:rPr>
            </w:r>
            <w:r>
              <w:rPr>
                <w:noProof/>
                <w:webHidden/>
              </w:rPr>
              <w:fldChar w:fldCharType="separate"/>
            </w:r>
            <w:r>
              <w:rPr>
                <w:noProof/>
                <w:webHidden/>
              </w:rPr>
              <w:t>56</w:t>
            </w:r>
            <w:r>
              <w:rPr>
                <w:noProof/>
                <w:webHidden/>
              </w:rPr>
              <w:fldChar w:fldCharType="end"/>
            </w:r>
          </w:hyperlink>
        </w:p>
        <w:p w14:paraId="716BC8C3"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94" w:history="1">
            <w:r w:rsidRPr="008C64ED">
              <w:rPr>
                <w:rStyle w:val="Hyperlink"/>
                <w:noProof/>
              </w:rPr>
              <w:t>B.</w:t>
            </w:r>
            <w:r>
              <w:rPr>
                <w:rFonts w:eastAsiaTheme="minorEastAsia" w:cstheme="minorBidi"/>
                <w:noProof/>
                <w:kern w:val="2"/>
                <w:sz w:val="24"/>
                <w:szCs w:val="24"/>
                <w:lang w:eastAsia="nl-NL"/>
                <w14:ligatures w14:val="standardContextual"/>
              </w:rPr>
              <w:tab/>
            </w:r>
            <w:r w:rsidRPr="008C64ED">
              <w:rPr>
                <w:rStyle w:val="Hyperlink"/>
                <w:noProof/>
              </w:rPr>
              <w:t>Alimentatie tussen ex-echtgenoten</w:t>
            </w:r>
            <w:r>
              <w:rPr>
                <w:noProof/>
                <w:webHidden/>
              </w:rPr>
              <w:tab/>
            </w:r>
            <w:r>
              <w:rPr>
                <w:noProof/>
                <w:webHidden/>
              </w:rPr>
              <w:fldChar w:fldCharType="begin"/>
            </w:r>
            <w:r>
              <w:rPr>
                <w:noProof/>
                <w:webHidden/>
              </w:rPr>
              <w:instrText xml:space="preserve"> PAGEREF _Toc167990494 \h </w:instrText>
            </w:r>
            <w:r>
              <w:rPr>
                <w:noProof/>
                <w:webHidden/>
              </w:rPr>
            </w:r>
            <w:r>
              <w:rPr>
                <w:noProof/>
                <w:webHidden/>
              </w:rPr>
              <w:fldChar w:fldCharType="separate"/>
            </w:r>
            <w:r>
              <w:rPr>
                <w:noProof/>
                <w:webHidden/>
              </w:rPr>
              <w:t>56</w:t>
            </w:r>
            <w:r>
              <w:rPr>
                <w:noProof/>
                <w:webHidden/>
              </w:rPr>
              <w:fldChar w:fldCharType="end"/>
            </w:r>
          </w:hyperlink>
        </w:p>
        <w:p w14:paraId="4F01D7FA"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95" w:history="1">
            <w:r w:rsidRPr="008C64ED">
              <w:rPr>
                <w:rStyle w:val="Hyperlink"/>
                <w:noProof/>
              </w:rPr>
              <w:t>C.</w:t>
            </w:r>
            <w:r>
              <w:rPr>
                <w:rFonts w:eastAsiaTheme="minorEastAsia" w:cstheme="minorBidi"/>
                <w:noProof/>
                <w:kern w:val="2"/>
                <w:sz w:val="24"/>
                <w:szCs w:val="24"/>
                <w:lang w:eastAsia="nl-NL"/>
                <w14:ligatures w14:val="standardContextual"/>
              </w:rPr>
              <w:tab/>
            </w:r>
            <w:r w:rsidRPr="008C64ED">
              <w:rPr>
                <w:rStyle w:val="Hyperlink"/>
                <w:noProof/>
              </w:rPr>
              <w:t>Kinderen</w:t>
            </w:r>
            <w:r>
              <w:rPr>
                <w:noProof/>
                <w:webHidden/>
              </w:rPr>
              <w:tab/>
            </w:r>
            <w:r>
              <w:rPr>
                <w:noProof/>
                <w:webHidden/>
              </w:rPr>
              <w:fldChar w:fldCharType="begin"/>
            </w:r>
            <w:r>
              <w:rPr>
                <w:noProof/>
                <w:webHidden/>
              </w:rPr>
              <w:instrText xml:space="preserve"> PAGEREF _Toc167990495 \h </w:instrText>
            </w:r>
            <w:r>
              <w:rPr>
                <w:noProof/>
                <w:webHidden/>
              </w:rPr>
            </w:r>
            <w:r>
              <w:rPr>
                <w:noProof/>
                <w:webHidden/>
              </w:rPr>
              <w:fldChar w:fldCharType="separate"/>
            </w:r>
            <w:r>
              <w:rPr>
                <w:noProof/>
                <w:webHidden/>
              </w:rPr>
              <w:t>57</w:t>
            </w:r>
            <w:r>
              <w:rPr>
                <w:noProof/>
                <w:webHidden/>
              </w:rPr>
              <w:fldChar w:fldCharType="end"/>
            </w:r>
          </w:hyperlink>
        </w:p>
        <w:p w14:paraId="14C76478"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496" w:history="1">
            <w:r w:rsidRPr="008C64ED">
              <w:rPr>
                <w:rStyle w:val="Hyperlink"/>
                <w:noProof/>
              </w:rPr>
              <w:t>2.</w:t>
            </w:r>
            <w:r>
              <w:rPr>
                <w:rFonts w:eastAsiaTheme="minorEastAsia" w:cstheme="minorBidi"/>
                <w:noProof/>
                <w:kern w:val="2"/>
                <w:sz w:val="24"/>
                <w:szCs w:val="24"/>
                <w:lang w:eastAsia="nl-NL"/>
                <w14:ligatures w14:val="standardContextual"/>
              </w:rPr>
              <w:tab/>
            </w:r>
            <w:r w:rsidRPr="008C64ED">
              <w:rPr>
                <w:rStyle w:val="Hyperlink"/>
                <w:noProof/>
              </w:rPr>
              <w:t>Wettelijke samenwoning</w:t>
            </w:r>
            <w:r>
              <w:rPr>
                <w:noProof/>
                <w:webHidden/>
              </w:rPr>
              <w:tab/>
            </w:r>
            <w:r>
              <w:rPr>
                <w:noProof/>
                <w:webHidden/>
              </w:rPr>
              <w:fldChar w:fldCharType="begin"/>
            </w:r>
            <w:r>
              <w:rPr>
                <w:noProof/>
                <w:webHidden/>
              </w:rPr>
              <w:instrText xml:space="preserve"> PAGEREF _Toc167990496 \h </w:instrText>
            </w:r>
            <w:r>
              <w:rPr>
                <w:noProof/>
                <w:webHidden/>
              </w:rPr>
            </w:r>
            <w:r>
              <w:rPr>
                <w:noProof/>
                <w:webHidden/>
              </w:rPr>
              <w:fldChar w:fldCharType="separate"/>
            </w:r>
            <w:r>
              <w:rPr>
                <w:noProof/>
                <w:webHidden/>
              </w:rPr>
              <w:t>57</w:t>
            </w:r>
            <w:r>
              <w:rPr>
                <w:noProof/>
                <w:webHidden/>
              </w:rPr>
              <w:fldChar w:fldCharType="end"/>
            </w:r>
          </w:hyperlink>
        </w:p>
        <w:p w14:paraId="4066107B"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497"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Dringende en voorlopige maatregelen</w:t>
            </w:r>
            <w:r>
              <w:rPr>
                <w:noProof/>
                <w:webHidden/>
              </w:rPr>
              <w:tab/>
            </w:r>
            <w:r>
              <w:rPr>
                <w:noProof/>
                <w:webHidden/>
              </w:rPr>
              <w:fldChar w:fldCharType="begin"/>
            </w:r>
            <w:r>
              <w:rPr>
                <w:noProof/>
                <w:webHidden/>
              </w:rPr>
              <w:instrText xml:space="preserve"> PAGEREF _Toc167990497 \h </w:instrText>
            </w:r>
            <w:r>
              <w:rPr>
                <w:noProof/>
                <w:webHidden/>
              </w:rPr>
            </w:r>
            <w:r>
              <w:rPr>
                <w:noProof/>
                <w:webHidden/>
              </w:rPr>
              <w:fldChar w:fldCharType="separate"/>
            </w:r>
            <w:r>
              <w:rPr>
                <w:noProof/>
                <w:webHidden/>
              </w:rPr>
              <w:t>58</w:t>
            </w:r>
            <w:r>
              <w:rPr>
                <w:noProof/>
                <w:webHidden/>
              </w:rPr>
              <w:fldChar w:fldCharType="end"/>
            </w:r>
          </w:hyperlink>
        </w:p>
        <w:p w14:paraId="26932410"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498" w:history="1">
            <w:r w:rsidRPr="008C64ED">
              <w:rPr>
                <w:rStyle w:val="Hyperlink"/>
                <w:noProof/>
              </w:rPr>
              <w:t>DEEL III: Naar een huwelijks- en samenlevingsovereenkomst van bepaalde duur?</w:t>
            </w:r>
            <w:r>
              <w:rPr>
                <w:noProof/>
                <w:webHidden/>
              </w:rPr>
              <w:tab/>
            </w:r>
            <w:r>
              <w:rPr>
                <w:noProof/>
                <w:webHidden/>
              </w:rPr>
              <w:fldChar w:fldCharType="begin"/>
            </w:r>
            <w:r>
              <w:rPr>
                <w:noProof/>
                <w:webHidden/>
              </w:rPr>
              <w:instrText xml:space="preserve"> PAGEREF _Toc167990498 \h </w:instrText>
            </w:r>
            <w:r>
              <w:rPr>
                <w:noProof/>
                <w:webHidden/>
              </w:rPr>
            </w:r>
            <w:r>
              <w:rPr>
                <w:noProof/>
                <w:webHidden/>
              </w:rPr>
              <w:fldChar w:fldCharType="separate"/>
            </w:r>
            <w:r>
              <w:rPr>
                <w:noProof/>
                <w:webHidden/>
              </w:rPr>
              <w:t>60</w:t>
            </w:r>
            <w:r>
              <w:rPr>
                <w:noProof/>
                <w:webHidden/>
              </w:rPr>
              <w:fldChar w:fldCharType="end"/>
            </w:r>
          </w:hyperlink>
        </w:p>
        <w:p w14:paraId="75DB4A6F"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499" w:history="1">
            <w:r w:rsidRPr="008C64ED">
              <w:rPr>
                <w:rStyle w:val="Hyperlink"/>
                <w:noProof/>
              </w:rPr>
              <w:t>Hoofdstuk 1. Ratio legis</w:t>
            </w:r>
            <w:r>
              <w:rPr>
                <w:noProof/>
                <w:webHidden/>
              </w:rPr>
              <w:tab/>
            </w:r>
            <w:r>
              <w:rPr>
                <w:noProof/>
                <w:webHidden/>
              </w:rPr>
              <w:fldChar w:fldCharType="begin"/>
            </w:r>
            <w:r>
              <w:rPr>
                <w:noProof/>
                <w:webHidden/>
              </w:rPr>
              <w:instrText xml:space="preserve"> PAGEREF _Toc167990499 \h </w:instrText>
            </w:r>
            <w:r>
              <w:rPr>
                <w:noProof/>
                <w:webHidden/>
              </w:rPr>
            </w:r>
            <w:r>
              <w:rPr>
                <w:noProof/>
                <w:webHidden/>
              </w:rPr>
              <w:fldChar w:fldCharType="separate"/>
            </w:r>
            <w:r>
              <w:rPr>
                <w:noProof/>
                <w:webHidden/>
              </w:rPr>
              <w:t>61</w:t>
            </w:r>
            <w:r>
              <w:rPr>
                <w:noProof/>
                <w:webHidden/>
              </w:rPr>
              <w:fldChar w:fldCharType="end"/>
            </w:r>
          </w:hyperlink>
        </w:p>
        <w:p w14:paraId="78C36F3E"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0" w:history="1">
            <w:r w:rsidRPr="008C64ED">
              <w:rPr>
                <w:rStyle w:val="Hyperlink"/>
                <w:noProof/>
              </w:rPr>
              <w:t>Hoofdstuk 2. Uitdovende tijdsbepaling</w:t>
            </w:r>
            <w:r>
              <w:rPr>
                <w:noProof/>
                <w:webHidden/>
              </w:rPr>
              <w:tab/>
            </w:r>
            <w:r>
              <w:rPr>
                <w:noProof/>
                <w:webHidden/>
              </w:rPr>
              <w:fldChar w:fldCharType="begin"/>
            </w:r>
            <w:r>
              <w:rPr>
                <w:noProof/>
                <w:webHidden/>
              </w:rPr>
              <w:instrText xml:space="preserve"> PAGEREF _Toc167990500 \h </w:instrText>
            </w:r>
            <w:r>
              <w:rPr>
                <w:noProof/>
                <w:webHidden/>
              </w:rPr>
            </w:r>
            <w:r>
              <w:rPr>
                <w:noProof/>
                <w:webHidden/>
              </w:rPr>
              <w:fldChar w:fldCharType="separate"/>
            </w:r>
            <w:r>
              <w:rPr>
                <w:noProof/>
                <w:webHidden/>
              </w:rPr>
              <w:t>62</w:t>
            </w:r>
            <w:r>
              <w:rPr>
                <w:noProof/>
                <w:webHidden/>
              </w:rPr>
              <w:fldChar w:fldCharType="end"/>
            </w:r>
          </w:hyperlink>
        </w:p>
        <w:p w14:paraId="7C8FA584"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1" w:history="1">
            <w:r w:rsidRPr="008C64ED">
              <w:rPr>
                <w:rStyle w:val="Hyperlink"/>
                <w:noProof/>
              </w:rPr>
              <w:t>Hoofdstuk 3. Duurtijd</w:t>
            </w:r>
            <w:r>
              <w:rPr>
                <w:noProof/>
                <w:webHidden/>
              </w:rPr>
              <w:tab/>
            </w:r>
            <w:r>
              <w:rPr>
                <w:noProof/>
                <w:webHidden/>
              </w:rPr>
              <w:fldChar w:fldCharType="begin"/>
            </w:r>
            <w:r>
              <w:rPr>
                <w:noProof/>
                <w:webHidden/>
              </w:rPr>
              <w:instrText xml:space="preserve"> PAGEREF _Toc167990501 \h </w:instrText>
            </w:r>
            <w:r>
              <w:rPr>
                <w:noProof/>
                <w:webHidden/>
              </w:rPr>
            </w:r>
            <w:r>
              <w:rPr>
                <w:noProof/>
                <w:webHidden/>
              </w:rPr>
              <w:fldChar w:fldCharType="separate"/>
            </w:r>
            <w:r>
              <w:rPr>
                <w:noProof/>
                <w:webHidden/>
              </w:rPr>
              <w:t>63</w:t>
            </w:r>
            <w:r>
              <w:rPr>
                <w:noProof/>
                <w:webHidden/>
              </w:rPr>
              <w:fldChar w:fldCharType="end"/>
            </w:r>
          </w:hyperlink>
        </w:p>
        <w:p w14:paraId="2DCDACDE"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2" w:history="1">
            <w:r w:rsidRPr="008C64ED">
              <w:rPr>
                <w:rStyle w:val="Hyperlink"/>
                <w:noProof/>
              </w:rPr>
              <w:t>Hoofdstuk 4. Vormvereiste</w:t>
            </w:r>
            <w:r>
              <w:rPr>
                <w:noProof/>
                <w:webHidden/>
              </w:rPr>
              <w:tab/>
            </w:r>
            <w:r>
              <w:rPr>
                <w:noProof/>
                <w:webHidden/>
              </w:rPr>
              <w:fldChar w:fldCharType="begin"/>
            </w:r>
            <w:r>
              <w:rPr>
                <w:noProof/>
                <w:webHidden/>
              </w:rPr>
              <w:instrText xml:space="preserve"> PAGEREF _Toc167990502 \h </w:instrText>
            </w:r>
            <w:r>
              <w:rPr>
                <w:noProof/>
                <w:webHidden/>
              </w:rPr>
            </w:r>
            <w:r>
              <w:rPr>
                <w:noProof/>
                <w:webHidden/>
              </w:rPr>
              <w:fldChar w:fldCharType="separate"/>
            </w:r>
            <w:r>
              <w:rPr>
                <w:noProof/>
                <w:webHidden/>
              </w:rPr>
              <w:t>64</w:t>
            </w:r>
            <w:r>
              <w:rPr>
                <w:noProof/>
                <w:webHidden/>
              </w:rPr>
              <w:fldChar w:fldCharType="end"/>
            </w:r>
          </w:hyperlink>
        </w:p>
        <w:p w14:paraId="466D9A7D"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3" w:history="1">
            <w:r w:rsidRPr="008C64ED">
              <w:rPr>
                <w:rStyle w:val="Hyperlink"/>
                <w:noProof/>
              </w:rPr>
              <w:t>Hoofdstuk 5. Verlenging en vernieuwing</w:t>
            </w:r>
            <w:r>
              <w:rPr>
                <w:noProof/>
                <w:webHidden/>
              </w:rPr>
              <w:tab/>
            </w:r>
            <w:r>
              <w:rPr>
                <w:noProof/>
                <w:webHidden/>
              </w:rPr>
              <w:fldChar w:fldCharType="begin"/>
            </w:r>
            <w:r>
              <w:rPr>
                <w:noProof/>
                <w:webHidden/>
              </w:rPr>
              <w:instrText xml:space="preserve"> PAGEREF _Toc167990503 \h </w:instrText>
            </w:r>
            <w:r>
              <w:rPr>
                <w:noProof/>
                <w:webHidden/>
              </w:rPr>
            </w:r>
            <w:r>
              <w:rPr>
                <w:noProof/>
                <w:webHidden/>
              </w:rPr>
              <w:fldChar w:fldCharType="separate"/>
            </w:r>
            <w:r>
              <w:rPr>
                <w:noProof/>
                <w:webHidden/>
              </w:rPr>
              <w:t>64</w:t>
            </w:r>
            <w:r>
              <w:rPr>
                <w:noProof/>
                <w:webHidden/>
              </w:rPr>
              <w:fldChar w:fldCharType="end"/>
            </w:r>
          </w:hyperlink>
        </w:p>
        <w:p w14:paraId="75CC7F14"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504" w:history="1">
            <w:r w:rsidRPr="008C64ED">
              <w:rPr>
                <w:rStyle w:val="Hyperlink"/>
                <w:noProof/>
              </w:rPr>
              <w:t>1.</w:t>
            </w:r>
            <w:r>
              <w:rPr>
                <w:rFonts w:eastAsiaTheme="minorEastAsia" w:cstheme="minorBidi"/>
                <w:noProof/>
                <w:kern w:val="2"/>
                <w:sz w:val="24"/>
                <w:szCs w:val="24"/>
                <w:lang w:eastAsia="nl-NL"/>
                <w14:ligatures w14:val="standardContextual"/>
              </w:rPr>
              <w:tab/>
            </w:r>
            <w:r w:rsidRPr="008C64ED">
              <w:rPr>
                <w:rStyle w:val="Hyperlink"/>
                <w:noProof/>
              </w:rPr>
              <w:t>Conventionele verlenging</w:t>
            </w:r>
            <w:r>
              <w:rPr>
                <w:noProof/>
                <w:webHidden/>
              </w:rPr>
              <w:tab/>
            </w:r>
            <w:r>
              <w:rPr>
                <w:noProof/>
                <w:webHidden/>
              </w:rPr>
              <w:fldChar w:fldCharType="begin"/>
            </w:r>
            <w:r>
              <w:rPr>
                <w:noProof/>
                <w:webHidden/>
              </w:rPr>
              <w:instrText xml:space="preserve"> PAGEREF _Toc167990504 \h </w:instrText>
            </w:r>
            <w:r>
              <w:rPr>
                <w:noProof/>
                <w:webHidden/>
              </w:rPr>
            </w:r>
            <w:r>
              <w:rPr>
                <w:noProof/>
                <w:webHidden/>
              </w:rPr>
              <w:fldChar w:fldCharType="separate"/>
            </w:r>
            <w:r>
              <w:rPr>
                <w:noProof/>
                <w:webHidden/>
              </w:rPr>
              <w:t>64</w:t>
            </w:r>
            <w:r>
              <w:rPr>
                <w:noProof/>
                <w:webHidden/>
              </w:rPr>
              <w:fldChar w:fldCharType="end"/>
            </w:r>
          </w:hyperlink>
        </w:p>
        <w:p w14:paraId="41342205" w14:textId="77777777" w:rsidR="00BD18A3" w:rsidRDefault="00BD18A3" w:rsidP="00BD18A3">
          <w:pPr>
            <w:pStyle w:val="Inhopg3"/>
            <w:tabs>
              <w:tab w:val="left" w:pos="800"/>
              <w:tab w:val="right" w:leader="dot" w:pos="9062"/>
            </w:tabs>
            <w:rPr>
              <w:rFonts w:eastAsiaTheme="minorEastAsia" w:cstheme="minorBidi"/>
              <w:noProof/>
              <w:kern w:val="2"/>
              <w:sz w:val="24"/>
              <w:szCs w:val="24"/>
              <w:lang w:eastAsia="nl-NL"/>
              <w14:ligatures w14:val="standardContextual"/>
            </w:rPr>
          </w:pPr>
          <w:hyperlink w:anchor="_Toc167990505" w:history="1">
            <w:r w:rsidRPr="008C64ED">
              <w:rPr>
                <w:rStyle w:val="Hyperlink"/>
                <w:noProof/>
              </w:rPr>
              <w:t>2.</w:t>
            </w:r>
            <w:r>
              <w:rPr>
                <w:rFonts w:eastAsiaTheme="minorEastAsia" w:cstheme="minorBidi"/>
                <w:noProof/>
                <w:kern w:val="2"/>
                <w:sz w:val="24"/>
                <w:szCs w:val="24"/>
                <w:lang w:eastAsia="nl-NL"/>
                <w14:ligatures w14:val="standardContextual"/>
              </w:rPr>
              <w:tab/>
            </w:r>
            <w:r w:rsidRPr="008C64ED">
              <w:rPr>
                <w:rStyle w:val="Hyperlink"/>
                <w:noProof/>
              </w:rPr>
              <w:t>Vernieuwing</w:t>
            </w:r>
            <w:r>
              <w:rPr>
                <w:noProof/>
                <w:webHidden/>
              </w:rPr>
              <w:tab/>
            </w:r>
            <w:r>
              <w:rPr>
                <w:noProof/>
                <w:webHidden/>
              </w:rPr>
              <w:fldChar w:fldCharType="begin"/>
            </w:r>
            <w:r>
              <w:rPr>
                <w:noProof/>
                <w:webHidden/>
              </w:rPr>
              <w:instrText xml:space="preserve"> PAGEREF _Toc167990505 \h </w:instrText>
            </w:r>
            <w:r>
              <w:rPr>
                <w:noProof/>
                <w:webHidden/>
              </w:rPr>
            </w:r>
            <w:r>
              <w:rPr>
                <w:noProof/>
                <w:webHidden/>
              </w:rPr>
              <w:fldChar w:fldCharType="separate"/>
            </w:r>
            <w:r>
              <w:rPr>
                <w:noProof/>
                <w:webHidden/>
              </w:rPr>
              <w:t>65</w:t>
            </w:r>
            <w:r>
              <w:rPr>
                <w:noProof/>
                <w:webHidden/>
              </w:rPr>
              <w:fldChar w:fldCharType="end"/>
            </w:r>
          </w:hyperlink>
        </w:p>
        <w:p w14:paraId="0809E81F"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506" w:history="1">
            <w:r w:rsidRPr="008C64ED">
              <w:rPr>
                <w:rStyle w:val="Hyperlink"/>
                <w:noProof/>
              </w:rPr>
              <w:t>A.</w:t>
            </w:r>
            <w:r>
              <w:rPr>
                <w:rFonts w:eastAsiaTheme="minorEastAsia" w:cstheme="minorBidi"/>
                <w:noProof/>
                <w:kern w:val="2"/>
                <w:sz w:val="24"/>
                <w:szCs w:val="24"/>
                <w:lang w:eastAsia="nl-NL"/>
                <w14:ligatures w14:val="standardContextual"/>
              </w:rPr>
              <w:tab/>
            </w:r>
            <w:r w:rsidRPr="008C64ED">
              <w:rPr>
                <w:rStyle w:val="Hyperlink"/>
                <w:noProof/>
              </w:rPr>
              <w:t>Uitdrukkelijke vernieuwing</w:t>
            </w:r>
            <w:r>
              <w:rPr>
                <w:noProof/>
                <w:webHidden/>
              </w:rPr>
              <w:tab/>
            </w:r>
            <w:r>
              <w:rPr>
                <w:noProof/>
                <w:webHidden/>
              </w:rPr>
              <w:fldChar w:fldCharType="begin"/>
            </w:r>
            <w:r>
              <w:rPr>
                <w:noProof/>
                <w:webHidden/>
              </w:rPr>
              <w:instrText xml:space="preserve"> PAGEREF _Toc167990506 \h </w:instrText>
            </w:r>
            <w:r>
              <w:rPr>
                <w:noProof/>
                <w:webHidden/>
              </w:rPr>
            </w:r>
            <w:r>
              <w:rPr>
                <w:noProof/>
                <w:webHidden/>
              </w:rPr>
              <w:fldChar w:fldCharType="separate"/>
            </w:r>
            <w:r>
              <w:rPr>
                <w:noProof/>
                <w:webHidden/>
              </w:rPr>
              <w:t>65</w:t>
            </w:r>
            <w:r>
              <w:rPr>
                <w:noProof/>
                <w:webHidden/>
              </w:rPr>
              <w:fldChar w:fldCharType="end"/>
            </w:r>
          </w:hyperlink>
        </w:p>
        <w:p w14:paraId="7F1A999E" w14:textId="77777777" w:rsidR="00BD18A3" w:rsidRDefault="00BD18A3" w:rsidP="00BD18A3">
          <w:pPr>
            <w:pStyle w:val="Inhopg4"/>
            <w:rPr>
              <w:rFonts w:eastAsiaTheme="minorEastAsia" w:cstheme="minorBidi"/>
              <w:noProof/>
              <w:kern w:val="2"/>
              <w:sz w:val="24"/>
              <w:szCs w:val="24"/>
              <w:lang w:eastAsia="nl-NL"/>
              <w14:ligatures w14:val="standardContextual"/>
            </w:rPr>
          </w:pPr>
          <w:hyperlink w:anchor="_Toc167990507" w:history="1">
            <w:r w:rsidRPr="008C64ED">
              <w:rPr>
                <w:rStyle w:val="Hyperlink"/>
                <w:noProof/>
              </w:rPr>
              <w:t>B.</w:t>
            </w:r>
            <w:r>
              <w:rPr>
                <w:rFonts w:eastAsiaTheme="minorEastAsia" w:cstheme="minorBidi"/>
                <w:noProof/>
                <w:kern w:val="2"/>
                <w:sz w:val="24"/>
                <w:szCs w:val="24"/>
                <w:lang w:eastAsia="nl-NL"/>
                <w14:ligatures w14:val="standardContextual"/>
              </w:rPr>
              <w:tab/>
            </w:r>
            <w:r w:rsidRPr="008C64ED">
              <w:rPr>
                <w:rStyle w:val="Hyperlink"/>
                <w:noProof/>
              </w:rPr>
              <w:t>Geen stilzwijgende vernieuwing</w:t>
            </w:r>
            <w:r>
              <w:rPr>
                <w:noProof/>
                <w:webHidden/>
              </w:rPr>
              <w:tab/>
            </w:r>
            <w:r>
              <w:rPr>
                <w:noProof/>
                <w:webHidden/>
              </w:rPr>
              <w:fldChar w:fldCharType="begin"/>
            </w:r>
            <w:r>
              <w:rPr>
                <w:noProof/>
                <w:webHidden/>
              </w:rPr>
              <w:instrText xml:space="preserve"> PAGEREF _Toc167990507 \h </w:instrText>
            </w:r>
            <w:r>
              <w:rPr>
                <w:noProof/>
                <w:webHidden/>
              </w:rPr>
            </w:r>
            <w:r>
              <w:rPr>
                <w:noProof/>
                <w:webHidden/>
              </w:rPr>
              <w:fldChar w:fldCharType="separate"/>
            </w:r>
            <w:r>
              <w:rPr>
                <w:noProof/>
                <w:webHidden/>
              </w:rPr>
              <w:t>66</w:t>
            </w:r>
            <w:r>
              <w:rPr>
                <w:noProof/>
                <w:webHidden/>
              </w:rPr>
              <w:fldChar w:fldCharType="end"/>
            </w:r>
          </w:hyperlink>
        </w:p>
        <w:p w14:paraId="3A84309E"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8" w:history="1">
            <w:r w:rsidRPr="008C64ED">
              <w:rPr>
                <w:rStyle w:val="Hyperlink"/>
                <w:noProof/>
              </w:rPr>
              <w:t>Hoofdstuk 6. Wijziging</w:t>
            </w:r>
            <w:r>
              <w:rPr>
                <w:noProof/>
                <w:webHidden/>
              </w:rPr>
              <w:tab/>
            </w:r>
            <w:r>
              <w:rPr>
                <w:noProof/>
                <w:webHidden/>
              </w:rPr>
              <w:fldChar w:fldCharType="begin"/>
            </w:r>
            <w:r>
              <w:rPr>
                <w:noProof/>
                <w:webHidden/>
              </w:rPr>
              <w:instrText xml:space="preserve"> PAGEREF _Toc167990508 \h </w:instrText>
            </w:r>
            <w:r>
              <w:rPr>
                <w:noProof/>
                <w:webHidden/>
              </w:rPr>
            </w:r>
            <w:r>
              <w:rPr>
                <w:noProof/>
                <w:webHidden/>
              </w:rPr>
              <w:fldChar w:fldCharType="separate"/>
            </w:r>
            <w:r>
              <w:rPr>
                <w:noProof/>
                <w:webHidden/>
              </w:rPr>
              <w:t>66</w:t>
            </w:r>
            <w:r>
              <w:rPr>
                <w:noProof/>
                <w:webHidden/>
              </w:rPr>
              <w:fldChar w:fldCharType="end"/>
            </w:r>
          </w:hyperlink>
        </w:p>
        <w:p w14:paraId="7C49FEBA"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09" w:history="1">
            <w:r w:rsidRPr="008C64ED">
              <w:rPr>
                <w:rStyle w:val="Hyperlink"/>
                <w:noProof/>
              </w:rPr>
              <w:t>Hoofdstuk 7. Opeenvolgende relatievermogensrechtelijke overeenkomsten van bepaalde duur</w:t>
            </w:r>
            <w:r>
              <w:rPr>
                <w:noProof/>
                <w:webHidden/>
              </w:rPr>
              <w:tab/>
            </w:r>
            <w:r>
              <w:rPr>
                <w:noProof/>
                <w:webHidden/>
              </w:rPr>
              <w:fldChar w:fldCharType="begin"/>
            </w:r>
            <w:r>
              <w:rPr>
                <w:noProof/>
                <w:webHidden/>
              </w:rPr>
              <w:instrText xml:space="preserve"> PAGEREF _Toc167990509 \h </w:instrText>
            </w:r>
            <w:r>
              <w:rPr>
                <w:noProof/>
                <w:webHidden/>
              </w:rPr>
            </w:r>
            <w:r>
              <w:rPr>
                <w:noProof/>
                <w:webHidden/>
              </w:rPr>
              <w:fldChar w:fldCharType="separate"/>
            </w:r>
            <w:r>
              <w:rPr>
                <w:noProof/>
                <w:webHidden/>
              </w:rPr>
              <w:t>67</w:t>
            </w:r>
            <w:r>
              <w:rPr>
                <w:noProof/>
                <w:webHidden/>
              </w:rPr>
              <w:fldChar w:fldCharType="end"/>
            </w:r>
          </w:hyperlink>
        </w:p>
        <w:p w14:paraId="3DBE23E6"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0" w:history="1">
            <w:r w:rsidRPr="008C64ED">
              <w:rPr>
                <w:rStyle w:val="Hyperlink"/>
                <w:noProof/>
              </w:rPr>
              <w:t>Hoofdstuk 8. Beëindiging</w:t>
            </w:r>
            <w:r>
              <w:rPr>
                <w:noProof/>
                <w:webHidden/>
              </w:rPr>
              <w:tab/>
            </w:r>
            <w:r>
              <w:rPr>
                <w:noProof/>
                <w:webHidden/>
              </w:rPr>
              <w:fldChar w:fldCharType="begin"/>
            </w:r>
            <w:r>
              <w:rPr>
                <w:noProof/>
                <w:webHidden/>
              </w:rPr>
              <w:instrText xml:space="preserve"> PAGEREF _Toc167990510 \h </w:instrText>
            </w:r>
            <w:r>
              <w:rPr>
                <w:noProof/>
                <w:webHidden/>
              </w:rPr>
            </w:r>
            <w:r>
              <w:rPr>
                <w:noProof/>
                <w:webHidden/>
              </w:rPr>
              <w:fldChar w:fldCharType="separate"/>
            </w:r>
            <w:r>
              <w:rPr>
                <w:noProof/>
                <w:webHidden/>
              </w:rPr>
              <w:t>68</w:t>
            </w:r>
            <w:r>
              <w:rPr>
                <w:noProof/>
                <w:webHidden/>
              </w:rPr>
              <w:fldChar w:fldCharType="end"/>
            </w:r>
          </w:hyperlink>
        </w:p>
        <w:p w14:paraId="427411FC"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511" w:history="1">
            <w:r w:rsidRPr="008C64ED">
              <w:rPr>
                <w:rStyle w:val="Hyperlink"/>
                <w:noProof/>
              </w:rPr>
              <w:t>DEEL IV. Combinatie van relatievormen en relatievermogensrechtelijke overeenkomsten</w:t>
            </w:r>
            <w:r>
              <w:rPr>
                <w:noProof/>
                <w:webHidden/>
              </w:rPr>
              <w:tab/>
            </w:r>
            <w:r>
              <w:rPr>
                <w:noProof/>
                <w:webHidden/>
              </w:rPr>
              <w:fldChar w:fldCharType="begin"/>
            </w:r>
            <w:r>
              <w:rPr>
                <w:noProof/>
                <w:webHidden/>
              </w:rPr>
              <w:instrText xml:space="preserve"> PAGEREF _Toc167990511 \h </w:instrText>
            </w:r>
            <w:r>
              <w:rPr>
                <w:noProof/>
                <w:webHidden/>
              </w:rPr>
            </w:r>
            <w:r>
              <w:rPr>
                <w:noProof/>
                <w:webHidden/>
              </w:rPr>
              <w:fldChar w:fldCharType="separate"/>
            </w:r>
            <w:r>
              <w:rPr>
                <w:noProof/>
                <w:webHidden/>
              </w:rPr>
              <w:t>69</w:t>
            </w:r>
            <w:r>
              <w:rPr>
                <w:noProof/>
                <w:webHidden/>
              </w:rPr>
              <w:fldChar w:fldCharType="end"/>
            </w:r>
          </w:hyperlink>
        </w:p>
        <w:p w14:paraId="79E2CBCE"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2" w:history="1">
            <w:r w:rsidRPr="008C64ED">
              <w:rPr>
                <w:rStyle w:val="Hyperlink"/>
                <w:noProof/>
              </w:rPr>
              <w:t>Hoofdstuk 1. Onbepaalde duur relatievorm en onbepaalde duur relatievermogensrechtelijke overeenkomst</w:t>
            </w:r>
            <w:r>
              <w:rPr>
                <w:noProof/>
                <w:webHidden/>
              </w:rPr>
              <w:tab/>
            </w:r>
            <w:r>
              <w:rPr>
                <w:noProof/>
                <w:webHidden/>
              </w:rPr>
              <w:fldChar w:fldCharType="begin"/>
            </w:r>
            <w:r>
              <w:rPr>
                <w:noProof/>
                <w:webHidden/>
              </w:rPr>
              <w:instrText xml:space="preserve"> PAGEREF _Toc167990512 \h </w:instrText>
            </w:r>
            <w:r>
              <w:rPr>
                <w:noProof/>
                <w:webHidden/>
              </w:rPr>
            </w:r>
            <w:r>
              <w:rPr>
                <w:noProof/>
                <w:webHidden/>
              </w:rPr>
              <w:fldChar w:fldCharType="separate"/>
            </w:r>
            <w:r>
              <w:rPr>
                <w:noProof/>
                <w:webHidden/>
              </w:rPr>
              <w:t>69</w:t>
            </w:r>
            <w:r>
              <w:rPr>
                <w:noProof/>
                <w:webHidden/>
              </w:rPr>
              <w:fldChar w:fldCharType="end"/>
            </w:r>
          </w:hyperlink>
        </w:p>
        <w:p w14:paraId="0CB1A72F"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3" w:history="1">
            <w:r w:rsidRPr="008C64ED">
              <w:rPr>
                <w:rStyle w:val="Hyperlink"/>
                <w:noProof/>
              </w:rPr>
              <w:t>Hoofdstuk 2. Bepaalde duur relatievorm en bepaalde duur relatievermogensrechtelijke overeenkomst</w:t>
            </w:r>
            <w:r>
              <w:rPr>
                <w:noProof/>
                <w:webHidden/>
              </w:rPr>
              <w:tab/>
            </w:r>
            <w:r>
              <w:rPr>
                <w:noProof/>
                <w:webHidden/>
              </w:rPr>
              <w:fldChar w:fldCharType="begin"/>
            </w:r>
            <w:r>
              <w:rPr>
                <w:noProof/>
                <w:webHidden/>
              </w:rPr>
              <w:instrText xml:space="preserve"> PAGEREF _Toc167990513 \h </w:instrText>
            </w:r>
            <w:r>
              <w:rPr>
                <w:noProof/>
                <w:webHidden/>
              </w:rPr>
            </w:r>
            <w:r>
              <w:rPr>
                <w:noProof/>
                <w:webHidden/>
              </w:rPr>
              <w:fldChar w:fldCharType="separate"/>
            </w:r>
            <w:r>
              <w:rPr>
                <w:noProof/>
                <w:webHidden/>
              </w:rPr>
              <w:t>69</w:t>
            </w:r>
            <w:r>
              <w:rPr>
                <w:noProof/>
                <w:webHidden/>
              </w:rPr>
              <w:fldChar w:fldCharType="end"/>
            </w:r>
          </w:hyperlink>
        </w:p>
        <w:p w14:paraId="1667679B"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4" w:history="1">
            <w:r w:rsidRPr="008C64ED">
              <w:rPr>
                <w:rStyle w:val="Hyperlink"/>
                <w:noProof/>
              </w:rPr>
              <w:t>Hoofdstuk 3. Onbepaalde duur relatievorm en bepaalde duur relatievermogensrechtelijke overeenkomst</w:t>
            </w:r>
            <w:r>
              <w:rPr>
                <w:noProof/>
                <w:webHidden/>
              </w:rPr>
              <w:tab/>
            </w:r>
            <w:r>
              <w:rPr>
                <w:noProof/>
                <w:webHidden/>
              </w:rPr>
              <w:fldChar w:fldCharType="begin"/>
            </w:r>
            <w:r>
              <w:rPr>
                <w:noProof/>
                <w:webHidden/>
              </w:rPr>
              <w:instrText xml:space="preserve"> PAGEREF _Toc167990514 \h </w:instrText>
            </w:r>
            <w:r>
              <w:rPr>
                <w:noProof/>
                <w:webHidden/>
              </w:rPr>
            </w:r>
            <w:r>
              <w:rPr>
                <w:noProof/>
                <w:webHidden/>
              </w:rPr>
              <w:fldChar w:fldCharType="separate"/>
            </w:r>
            <w:r>
              <w:rPr>
                <w:noProof/>
                <w:webHidden/>
              </w:rPr>
              <w:t>70</w:t>
            </w:r>
            <w:r>
              <w:rPr>
                <w:noProof/>
                <w:webHidden/>
              </w:rPr>
              <w:fldChar w:fldCharType="end"/>
            </w:r>
          </w:hyperlink>
        </w:p>
        <w:p w14:paraId="17FE5B42"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5" w:history="1">
            <w:r w:rsidRPr="008C64ED">
              <w:rPr>
                <w:rStyle w:val="Hyperlink"/>
                <w:noProof/>
              </w:rPr>
              <w:t>Hoofdstuk 4. Bepaalde duur relatievorm en onbepaalde duur relatievermogensrechtelijke overeenkomst</w:t>
            </w:r>
            <w:r>
              <w:rPr>
                <w:noProof/>
                <w:webHidden/>
              </w:rPr>
              <w:tab/>
            </w:r>
            <w:r>
              <w:rPr>
                <w:noProof/>
                <w:webHidden/>
              </w:rPr>
              <w:fldChar w:fldCharType="begin"/>
            </w:r>
            <w:r>
              <w:rPr>
                <w:noProof/>
                <w:webHidden/>
              </w:rPr>
              <w:instrText xml:space="preserve"> PAGEREF _Toc167990515 \h </w:instrText>
            </w:r>
            <w:r>
              <w:rPr>
                <w:noProof/>
                <w:webHidden/>
              </w:rPr>
            </w:r>
            <w:r>
              <w:rPr>
                <w:noProof/>
                <w:webHidden/>
              </w:rPr>
              <w:fldChar w:fldCharType="separate"/>
            </w:r>
            <w:r>
              <w:rPr>
                <w:noProof/>
                <w:webHidden/>
              </w:rPr>
              <w:t>70</w:t>
            </w:r>
            <w:r>
              <w:rPr>
                <w:noProof/>
                <w:webHidden/>
              </w:rPr>
              <w:fldChar w:fldCharType="end"/>
            </w:r>
          </w:hyperlink>
        </w:p>
        <w:p w14:paraId="13FFC46D"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516" w:history="1">
            <w:r w:rsidRPr="008C64ED">
              <w:rPr>
                <w:rStyle w:val="Hyperlink"/>
                <w:noProof/>
              </w:rPr>
              <w:t>Conclusie</w:t>
            </w:r>
            <w:r>
              <w:rPr>
                <w:noProof/>
                <w:webHidden/>
              </w:rPr>
              <w:tab/>
            </w:r>
            <w:r>
              <w:rPr>
                <w:noProof/>
                <w:webHidden/>
              </w:rPr>
              <w:fldChar w:fldCharType="begin"/>
            </w:r>
            <w:r>
              <w:rPr>
                <w:noProof/>
                <w:webHidden/>
              </w:rPr>
              <w:instrText xml:space="preserve"> PAGEREF _Toc167990516 \h </w:instrText>
            </w:r>
            <w:r>
              <w:rPr>
                <w:noProof/>
                <w:webHidden/>
              </w:rPr>
            </w:r>
            <w:r>
              <w:rPr>
                <w:noProof/>
                <w:webHidden/>
              </w:rPr>
              <w:fldChar w:fldCharType="separate"/>
            </w:r>
            <w:r>
              <w:rPr>
                <w:noProof/>
                <w:webHidden/>
              </w:rPr>
              <w:t>71</w:t>
            </w:r>
            <w:r>
              <w:rPr>
                <w:noProof/>
                <w:webHidden/>
              </w:rPr>
              <w:fldChar w:fldCharType="end"/>
            </w:r>
          </w:hyperlink>
        </w:p>
        <w:p w14:paraId="561F4E15" w14:textId="77777777" w:rsidR="00BD18A3" w:rsidRDefault="00BD18A3" w:rsidP="00BD18A3">
          <w:pPr>
            <w:pStyle w:val="Inhopg1"/>
            <w:tabs>
              <w:tab w:val="right" w:leader="dot" w:pos="9062"/>
            </w:tabs>
            <w:rPr>
              <w:rFonts w:eastAsiaTheme="minorEastAsia" w:cstheme="minorBidi"/>
              <w:b w:val="0"/>
              <w:bCs w:val="0"/>
              <w:noProof/>
              <w:kern w:val="2"/>
              <w:sz w:val="24"/>
              <w:szCs w:val="24"/>
              <w:lang w:eastAsia="nl-NL"/>
              <w14:ligatures w14:val="standardContextual"/>
            </w:rPr>
          </w:pPr>
          <w:hyperlink w:anchor="_Toc167990517" w:history="1">
            <w:r w:rsidRPr="008C64ED">
              <w:rPr>
                <w:rStyle w:val="Hyperlink"/>
                <w:noProof/>
              </w:rPr>
              <w:t>Bibliografie</w:t>
            </w:r>
            <w:r>
              <w:rPr>
                <w:noProof/>
                <w:webHidden/>
              </w:rPr>
              <w:tab/>
            </w:r>
            <w:r>
              <w:rPr>
                <w:noProof/>
                <w:webHidden/>
              </w:rPr>
              <w:fldChar w:fldCharType="begin"/>
            </w:r>
            <w:r>
              <w:rPr>
                <w:noProof/>
                <w:webHidden/>
              </w:rPr>
              <w:instrText xml:space="preserve"> PAGEREF _Toc167990517 \h </w:instrText>
            </w:r>
            <w:r>
              <w:rPr>
                <w:noProof/>
                <w:webHidden/>
              </w:rPr>
            </w:r>
            <w:r>
              <w:rPr>
                <w:noProof/>
                <w:webHidden/>
              </w:rPr>
              <w:fldChar w:fldCharType="separate"/>
            </w:r>
            <w:r>
              <w:rPr>
                <w:noProof/>
                <w:webHidden/>
              </w:rPr>
              <w:t>74</w:t>
            </w:r>
            <w:r>
              <w:rPr>
                <w:noProof/>
                <w:webHidden/>
              </w:rPr>
              <w:fldChar w:fldCharType="end"/>
            </w:r>
          </w:hyperlink>
        </w:p>
        <w:p w14:paraId="0A035639"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8" w:history="1">
            <w:r w:rsidRPr="008C64ED">
              <w:rPr>
                <w:rStyle w:val="Hyperlink"/>
                <w:noProof/>
              </w:rPr>
              <w:t>Wetgeving</w:t>
            </w:r>
            <w:r>
              <w:rPr>
                <w:noProof/>
                <w:webHidden/>
              </w:rPr>
              <w:tab/>
            </w:r>
            <w:r>
              <w:rPr>
                <w:noProof/>
                <w:webHidden/>
              </w:rPr>
              <w:fldChar w:fldCharType="begin"/>
            </w:r>
            <w:r>
              <w:rPr>
                <w:noProof/>
                <w:webHidden/>
              </w:rPr>
              <w:instrText xml:space="preserve"> PAGEREF _Toc167990518 \h </w:instrText>
            </w:r>
            <w:r>
              <w:rPr>
                <w:noProof/>
                <w:webHidden/>
              </w:rPr>
            </w:r>
            <w:r>
              <w:rPr>
                <w:noProof/>
                <w:webHidden/>
              </w:rPr>
              <w:fldChar w:fldCharType="separate"/>
            </w:r>
            <w:r>
              <w:rPr>
                <w:noProof/>
                <w:webHidden/>
              </w:rPr>
              <w:t>74</w:t>
            </w:r>
            <w:r>
              <w:rPr>
                <w:noProof/>
                <w:webHidden/>
              </w:rPr>
              <w:fldChar w:fldCharType="end"/>
            </w:r>
          </w:hyperlink>
        </w:p>
        <w:p w14:paraId="3D0F6CF9"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19" w:history="1">
            <w:r w:rsidRPr="008C64ED">
              <w:rPr>
                <w:rStyle w:val="Hyperlink"/>
                <w:noProof/>
              </w:rPr>
              <w:t>Rechtspraak</w:t>
            </w:r>
            <w:r>
              <w:rPr>
                <w:noProof/>
                <w:webHidden/>
              </w:rPr>
              <w:tab/>
            </w:r>
            <w:r>
              <w:rPr>
                <w:noProof/>
                <w:webHidden/>
              </w:rPr>
              <w:fldChar w:fldCharType="begin"/>
            </w:r>
            <w:r>
              <w:rPr>
                <w:noProof/>
                <w:webHidden/>
              </w:rPr>
              <w:instrText xml:space="preserve"> PAGEREF _Toc167990519 \h </w:instrText>
            </w:r>
            <w:r>
              <w:rPr>
                <w:noProof/>
                <w:webHidden/>
              </w:rPr>
            </w:r>
            <w:r>
              <w:rPr>
                <w:noProof/>
                <w:webHidden/>
              </w:rPr>
              <w:fldChar w:fldCharType="separate"/>
            </w:r>
            <w:r>
              <w:rPr>
                <w:noProof/>
                <w:webHidden/>
              </w:rPr>
              <w:t>75</w:t>
            </w:r>
            <w:r>
              <w:rPr>
                <w:noProof/>
                <w:webHidden/>
              </w:rPr>
              <w:fldChar w:fldCharType="end"/>
            </w:r>
          </w:hyperlink>
        </w:p>
        <w:p w14:paraId="13D46301"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20" w:history="1">
            <w:r w:rsidRPr="008C64ED">
              <w:rPr>
                <w:rStyle w:val="Hyperlink"/>
                <w:noProof/>
              </w:rPr>
              <w:t>Rechtsleer</w:t>
            </w:r>
            <w:r>
              <w:rPr>
                <w:noProof/>
                <w:webHidden/>
              </w:rPr>
              <w:tab/>
            </w:r>
            <w:r>
              <w:rPr>
                <w:noProof/>
                <w:webHidden/>
              </w:rPr>
              <w:fldChar w:fldCharType="begin"/>
            </w:r>
            <w:r>
              <w:rPr>
                <w:noProof/>
                <w:webHidden/>
              </w:rPr>
              <w:instrText xml:space="preserve"> PAGEREF _Toc167990520 \h </w:instrText>
            </w:r>
            <w:r>
              <w:rPr>
                <w:noProof/>
                <w:webHidden/>
              </w:rPr>
            </w:r>
            <w:r>
              <w:rPr>
                <w:noProof/>
                <w:webHidden/>
              </w:rPr>
              <w:fldChar w:fldCharType="separate"/>
            </w:r>
            <w:r>
              <w:rPr>
                <w:noProof/>
                <w:webHidden/>
              </w:rPr>
              <w:t>76</w:t>
            </w:r>
            <w:r>
              <w:rPr>
                <w:noProof/>
                <w:webHidden/>
              </w:rPr>
              <w:fldChar w:fldCharType="end"/>
            </w:r>
          </w:hyperlink>
        </w:p>
        <w:p w14:paraId="55E6C8F8" w14:textId="77777777" w:rsidR="00BD18A3" w:rsidRDefault="00BD18A3" w:rsidP="00BD18A3">
          <w:pPr>
            <w:pStyle w:val="Inhopg2"/>
            <w:tabs>
              <w:tab w:val="right" w:leader="dot" w:pos="9062"/>
            </w:tabs>
            <w:rPr>
              <w:rFonts w:eastAsiaTheme="minorEastAsia" w:cstheme="minorBidi"/>
              <w:i w:val="0"/>
              <w:iCs w:val="0"/>
              <w:noProof/>
              <w:kern w:val="2"/>
              <w:sz w:val="24"/>
              <w:szCs w:val="24"/>
              <w:lang w:eastAsia="nl-NL"/>
              <w14:ligatures w14:val="standardContextual"/>
            </w:rPr>
          </w:pPr>
          <w:hyperlink w:anchor="_Toc167990521" w:history="1">
            <w:r w:rsidRPr="008C64ED">
              <w:rPr>
                <w:rStyle w:val="Hyperlink"/>
                <w:noProof/>
              </w:rPr>
              <w:t>Overige</w:t>
            </w:r>
            <w:r>
              <w:rPr>
                <w:noProof/>
                <w:webHidden/>
              </w:rPr>
              <w:tab/>
            </w:r>
            <w:r>
              <w:rPr>
                <w:noProof/>
                <w:webHidden/>
              </w:rPr>
              <w:fldChar w:fldCharType="begin"/>
            </w:r>
            <w:r>
              <w:rPr>
                <w:noProof/>
                <w:webHidden/>
              </w:rPr>
              <w:instrText xml:space="preserve"> PAGEREF _Toc167990521 \h </w:instrText>
            </w:r>
            <w:r>
              <w:rPr>
                <w:noProof/>
                <w:webHidden/>
              </w:rPr>
            </w:r>
            <w:r>
              <w:rPr>
                <w:noProof/>
                <w:webHidden/>
              </w:rPr>
              <w:fldChar w:fldCharType="separate"/>
            </w:r>
            <w:r>
              <w:rPr>
                <w:noProof/>
                <w:webHidden/>
              </w:rPr>
              <w:t>79</w:t>
            </w:r>
            <w:r>
              <w:rPr>
                <w:noProof/>
                <w:webHidden/>
              </w:rPr>
              <w:fldChar w:fldCharType="end"/>
            </w:r>
          </w:hyperlink>
        </w:p>
        <w:p w14:paraId="11B8C75C" w14:textId="77777777" w:rsidR="00BD18A3" w:rsidRDefault="00BD18A3" w:rsidP="00BD18A3">
          <w:r>
            <w:rPr>
              <w:rFonts w:asciiTheme="minorHAnsi" w:hAnsiTheme="minorHAnsi" w:cstheme="minorHAnsi"/>
              <w:b/>
              <w:bCs/>
              <w:szCs w:val="20"/>
            </w:rPr>
            <w:fldChar w:fldCharType="end"/>
          </w:r>
        </w:p>
      </w:sdtContent>
    </w:sdt>
    <w:p w14:paraId="78C4D229" w14:textId="77777777" w:rsidR="00BD18A3" w:rsidRPr="00461703" w:rsidRDefault="00BD18A3" w:rsidP="00BD18A3">
      <w:pPr>
        <w:spacing w:line="240" w:lineRule="auto"/>
        <w:jc w:val="left"/>
      </w:pPr>
    </w:p>
    <w:p w14:paraId="31BF6283" w14:textId="77777777" w:rsidR="00BD18A3" w:rsidRDefault="00BD18A3" w:rsidP="00BD18A3">
      <w:pPr>
        <w:spacing w:line="240" w:lineRule="auto"/>
        <w:jc w:val="left"/>
      </w:pPr>
    </w:p>
    <w:p w14:paraId="1632F98F" w14:textId="77777777" w:rsidR="00BD18A3" w:rsidRDefault="00BD18A3" w:rsidP="00BD18A3">
      <w:pPr>
        <w:spacing w:line="240" w:lineRule="auto"/>
        <w:jc w:val="left"/>
      </w:pPr>
    </w:p>
    <w:p w14:paraId="3C9C9EBE" w14:textId="77777777" w:rsidR="00BD18A3" w:rsidRDefault="00BD18A3" w:rsidP="00BD18A3">
      <w:pPr>
        <w:spacing w:line="240" w:lineRule="auto"/>
        <w:jc w:val="left"/>
      </w:pPr>
    </w:p>
    <w:p w14:paraId="5F82B6EA" w14:textId="77777777" w:rsidR="00BD18A3" w:rsidRDefault="00BD18A3" w:rsidP="00BD18A3">
      <w:pPr>
        <w:spacing w:line="240" w:lineRule="auto"/>
        <w:jc w:val="left"/>
      </w:pPr>
    </w:p>
    <w:p w14:paraId="34B00B52" w14:textId="77777777" w:rsidR="00BD18A3" w:rsidRDefault="00BD18A3" w:rsidP="00BD18A3">
      <w:pPr>
        <w:pStyle w:val="Kop1"/>
      </w:pPr>
      <w:bookmarkStart w:id="0" w:name="_Toc167990434"/>
      <w:bookmarkStart w:id="1" w:name="_Toc152249662"/>
      <w:r>
        <w:lastRenderedPageBreak/>
        <w:t>Dankwoord</w:t>
      </w:r>
      <w:bookmarkEnd w:id="0"/>
    </w:p>
    <w:p w14:paraId="60AF1A3C" w14:textId="77777777" w:rsidR="00BD18A3" w:rsidRPr="008236E0" w:rsidRDefault="00BD18A3" w:rsidP="00BD18A3"/>
    <w:p w14:paraId="388E5AA5" w14:textId="77777777" w:rsidR="00BD18A3" w:rsidRDefault="00BD18A3" w:rsidP="00BD18A3">
      <w:r>
        <w:t>Deze masterthesis vormt het sluitstuk van mijn opleiding Rechten. Na vijf prachtige jaren gevuld met studeren, zelfontplooiing, feesten, zelfstandigheid, geluk, doorzetting en  vriendschappen, lonkt de Grote Markt van Brussel. Afgelopen jaren waren de mooiste uit mijn leven en dat heb ik enkel aan de mensen rondom mij te danken. Een woordje van dank is dan ook zeker op zijn plaats.</w:t>
      </w:r>
    </w:p>
    <w:p w14:paraId="48384688" w14:textId="77777777" w:rsidR="00BD18A3" w:rsidRDefault="00BD18A3" w:rsidP="00BD18A3"/>
    <w:p w14:paraId="31F69A09" w14:textId="77777777" w:rsidR="00BD18A3" w:rsidRDefault="00BD18A3" w:rsidP="00BD18A3">
      <w:r>
        <w:t>Vooreerst wil ik mijn promotor prof. dr. Elisabeth Alofs bedanken om mee te gaan in mijn wilde idee van partnerrelaties van bepaalde duur. Hoe een ontstuimig idee, ontstaan op een avondje op café, de vorm van een masterthesis aannam? Die vraag stel ik me vandaag de dag nog steeds. Ik waardeer in het bijzonder haar constructieve aanpak waarop meetings verliepen en het concreet meedenken naar oplossing voor problemen waarop ik stootte. Bedankt om mij de vrijheid te geven om mijn eigen onderzoek te voeren en mij hierbij op het “rechte” pad te houden. Bedankt om mijn promotor te zijn.</w:t>
      </w:r>
    </w:p>
    <w:p w14:paraId="5C8021CF" w14:textId="77777777" w:rsidR="00BD18A3" w:rsidRDefault="00BD18A3" w:rsidP="00BD18A3"/>
    <w:p w14:paraId="3A9DFA89" w14:textId="77777777" w:rsidR="00BD18A3" w:rsidRDefault="00BD18A3" w:rsidP="00BD18A3">
      <w:r>
        <w:t>Verder wil ik graag mijn vrienden bedanken. Zij zijn de reden dat de afgelopen vijf jaar zo onvergetelijk zijn gebleken. Tussen het studeren en thesissen door zorgden zij dat er voldoende afwisseling was tussen inspanning en ontspanning (al sloeg de balans af en toe wel eens te ver door naar het tweede). Zij waren tegelijk het luisterend oor en de helpende hand waar ik soms nood aan had. Bedankt dat ik jullie mijn vrienden kan noemen.</w:t>
      </w:r>
    </w:p>
    <w:p w14:paraId="59A128AB" w14:textId="77777777" w:rsidR="00BD18A3" w:rsidRDefault="00BD18A3" w:rsidP="00BD18A3"/>
    <w:p w14:paraId="16A20C3A" w14:textId="77777777" w:rsidR="00BD18A3" w:rsidRDefault="00BD18A3" w:rsidP="00BD18A3">
      <w:r>
        <w:t>Graag richt ik ook een bedankje naar mijn ouders. Zonder hun onvoorwaardelijke steun was dit alles nooit mogelijk. Zij zijn het fundament waarop ik al het moois in mijn leven heb kunnen uitbouwen. Bedankt om de rol als ouder zo goed te vervullen.</w:t>
      </w:r>
    </w:p>
    <w:p w14:paraId="61BBDA52" w14:textId="77777777" w:rsidR="00BD18A3" w:rsidRDefault="00BD18A3" w:rsidP="00BD18A3"/>
    <w:p w14:paraId="7EB3600A" w14:textId="77777777" w:rsidR="00BD18A3" w:rsidRPr="00B62889" w:rsidRDefault="00BD18A3" w:rsidP="00BD18A3">
      <w:r>
        <w:t xml:space="preserve">Tot slot wil ik mijn </w:t>
      </w:r>
      <w:r>
        <w:rPr>
          <w:i/>
          <w:iCs/>
        </w:rPr>
        <w:t xml:space="preserve">alma mater, </w:t>
      </w:r>
      <w:r>
        <w:t>de VUB bedanken voor de fijne omgeving waarin ik mocht uitgroeien van jongvolwassene tot de persoon wie ik nu ben. Bedankt om mij zowel academisch, als maatschappelijk te vormen.</w:t>
      </w:r>
    </w:p>
    <w:p w14:paraId="4278612F" w14:textId="77777777" w:rsidR="00BD18A3" w:rsidRPr="00B62889" w:rsidRDefault="00BD18A3" w:rsidP="00BD18A3">
      <w:pPr>
        <w:spacing w:line="240" w:lineRule="auto"/>
        <w:jc w:val="left"/>
      </w:pPr>
      <w:r>
        <w:br w:type="page"/>
      </w:r>
    </w:p>
    <w:p w14:paraId="1F35242A" w14:textId="77777777" w:rsidR="00BD18A3" w:rsidRPr="001E3073" w:rsidRDefault="00BD18A3" w:rsidP="00BD18A3">
      <w:pPr>
        <w:pStyle w:val="Kop1"/>
      </w:pPr>
      <w:bookmarkStart w:id="2" w:name="_Toc167990435"/>
      <w:r w:rsidRPr="001E3073">
        <w:lastRenderedPageBreak/>
        <w:t>Inleiding</w:t>
      </w:r>
      <w:bookmarkEnd w:id="1"/>
      <w:bookmarkEnd w:id="2"/>
    </w:p>
    <w:p w14:paraId="54B91BCD" w14:textId="77777777" w:rsidR="00BD18A3" w:rsidRDefault="00BD18A3" w:rsidP="00BD18A3">
      <w:pPr>
        <w:pStyle w:val="Kop2"/>
        <w:numPr>
          <w:ilvl w:val="0"/>
          <w:numId w:val="1"/>
        </w:numPr>
      </w:pPr>
      <w:bookmarkStart w:id="3" w:name="_Toc167990436"/>
      <w:bookmarkStart w:id="4" w:name="_Toc149054321"/>
      <w:bookmarkStart w:id="5" w:name="_Toc149054580"/>
      <w:bookmarkStart w:id="6" w:name="_Toc152249663"/>
      <w:r w:rsidRPr="00C9093C">
        <w:t>P</w:t>
      </w:r>
      <w:r>
        <w:t>robleemstelling</w:t>
      </w:r>
      <w:bookmarkEnd w:id="3"/>
      <w:r w:rsidRPr="00C9093C">
        <w:t xml:space="preserve"> </w:t>
      </w:r>
      <w:bookmarkEnd w:id="4"/>
      <w:bookmarkEnd w:id="5"/>
      <w:bookmarkEnd w:id="6"/>
    </w:p>
    <w:p w14:paraId="5C6C5852" w14:textId="77777777" w:rsidR="00BD18A3" w:rsidRPr="00816378" w:rsidRDefault="00BD18A3" w:rsidP="00BD18A3">
      <w:pPr>
        <w:pStyle w:val="Lijstalinea"/>
        <w:numPr>
          <w:ilvl w:val="0"/>
          <w:numId w:val="26"/>
        </w:numPr>
        <w:ind w:left="0" w:firstLine="0"/>
        <w:rPr>
          <w:lang w:val="nl-NL"/>
        </w:rPr>
      </w:pPr>
      <w:r w:rsidRPr="00816378">
        <w:rPr>
          <w:lang w:val="nl-NL"/>
        </w:rPr>
        <w:t>Binnen het huidige wettelijk kader dient het huwelijk en de wettelijke samenwoning</w:t>
      </w:r>
      <w:r>
        <w:rPr>
          <w:lang w:val="nl-NL"/>
        </w:rPr>
        <w:t xml:space="preserve"> </w:t>
      </w:r>
      <w:r w:rsidRPr="00816378">
        <w:rPr>
          <w:lang w:val="nl-NL"/>
        </w:rPr>
        <w:t xml:space="preserve">steeds te worden aangegaan voor een onbepaalde duur. Vandaag de dag behoort het huwelijk en de wettelijke samenwoning van bepaalde duur tot de onmogelijkheid. Dit onderzoek heeft als doel na te gaan of het huwelijk van bepaalde duur en de wettelijke samenwoning van bepaalde duur een plaats kunnen vinden in het rechtsbestel van morgen. Er zal worden nagetrokken of het huwelijk en de wettelijke samenwoning van bepaalde duur gestoeld kunnen worden op andere, reeds bestaande positiefrechtelijke concepten. Met andere woorden zal er worden onderzocht hoe het </w:t>
      </w:r>
      <w:r w:rsidRPr="00816378">
        <w:rPr>
          <w:i/>
          <w:iCs/>
          <w:lang w:val="nl-NL"/>
        </w:rPr>
        <w:t xml:space="preserve">de lege </w:t>
      </w:r>
      <w:proofErr w:type="spellStart"/>
      <w:r w:rsidRPr="00816378">
        <w:rPr>
          <w:i/>
          <w:iCs/>
          <w:lang w:val="nl-NL"/>
        </w:rPr>
        <w:t>ferenda</w:t>
      </w:r>
      <w:proofErr w:type="spellEnd"/>
      <w:r w:rsidRPr="00816378">
        <w:rPr>
          <w:i/>
          <w:iCs/>
          <w:lang w:val="nl-NL"/>
        </w:rPr>
        <w:t xml:space="preserve"> </w:t>
      </w:r>
      <w:r w:rsidRPr="00816378">
        <w:rPr>
          <w:lang w:val="nl-NL"/>
        </w:rPr>
        <w:t>anders kan worden vormgegeven.</w:t>
      </w:r>
    </w:p>
    <w:p w14:paraId="43851B41" w14:textId="77777777" w:rsidR="00BD18A3" w:rsidRDefault="00BD18A3" w:rsidP="00BD18A3">
      <w:pPr>
        <w:rPr>
          <w:lang w:val="nl-NL"/>
        </w:rPr>
      </w:pPr>
    </w:p>
    <w:p w14:paraId="647361CE" w14:textId="77777777" w:rsidR="00BD18A3" w:rsidRPr="00816378" w:rsidRDefault="00BD18A3" w:rsidP="00BD18A3">
      <w:pPr>
        <w:pStyle w:val="Lijstalinea"/>
        <w:numPr>
          <w:ilvl w:val="0"/>
          <w:numId w:val="26"/>
        </w:numPr>
        <w:ind w:left="0" w:firstLine="0"/>
        <w:rPr>
          <w:lang w:val="nl-NL"/>
        </w:rPr>
      </w:pPr>
      <w:r w:rsidRPr="00816378">
        <w:rPr>
          <w:lang w:val="nl-NL"/>
        </w:rPr>
        <w:t>Na een grondig onderzoek met alle middelen die voorhanden waren, met inbegrip van talloze databanken, verscheidene bibliotheken, talrijke opzoeking over het wereldwijde web tot gesprekken met buitenlanders, bestond er geen mogelijkheid om een huwelijk of wettelijke samenwoning dat van bepaalde duur is op te sporen. Een huwelijk en wettelijke samenwoning van bepaalde duur vormgeven in België kan dus niet afgeleid of gebaseerd worden op reeds bestaande constructies in het buitenland.</w:t>
      </w:r>
    </w:p>
    <w:p w14:paraId="397C09D5" w14:textId="77777777" w:rsidR="00BD18A3" w:rsidRDefault="00BD18A3" w:rsidP="00BD18A3"/>
    <w:p w14:paraId="6691FCBB" w14:textId="77777777" w:rsidR="00BD18A3" w:rsidRDefault="00BD18A3" w:rsidP="00BD18A3">
      <w:pPr>
        <w:pStyle w:val="Lijstalinea"/>
        <w:numPr>
          <w:ilvl w:val="0"/>
          <w:numId w:val="26"/>
        </w:numPr>
        <w:ind w:left="0" w:firstLine="0"/>
      </w:pPr>
      <w:r>
        <w:t>Naast het huwelijk en de wettelijke samenwoning is de respectievelijke huwelijks- of samenlevingsovereenkomst ook steeds van onbepaalde duur. Het aangaan van een huwelijks- of samenlevingsovereenkomst voor bepaalde duur is onmogelijk. Hierdoor zou zich de situatie kunnen voordoen waarbij een huwelijks- of samenlevingsovereenkomst, jaren geleden gesloten, van kracht is, maar eigenlijk gedateerd en niet meer wenselijk is voor de realiteit van vandaag. Dit onderzoek richt zich tevens op welke wijze de relatievermogensrechtelijke overeenkomst: de huwelijks- of samenlevingsovereenkomst, kan worden omgevormd naar een bepaalde duur.</w:t>
      </w:r>
    </w:p>
    <w:p w14:paraId="09996F4C" w14:textId="77777777" w:rsidR="00BD18A3" w:rsidRDefault="00BD18A3" w:rsidP="00BD18A3"/>
    <w:p w14:paraId="5E4F7686" w14:textId="77777777" w:rsidR="00BD18A3" w:rsidRPr="00C2433D" w:rsidRDefault="00BD18A3" w:rsidP="00BD18A3">
      <w:pPr>
        <w:pStyle w:val="Lijstalinea"/>
        <w:numPr>
          <w:ilvl w:val="0"/>
          <w:numId w:val="26"/>
        </w:numPr>
        <w:ind w:left="0" w:firstLine="0"/>
      </w:pPr>
      <w:r>
        <w:t>Deze masterthesis zal fungeren als pionier. Een pionier met een non-dogmatische blik, die met een open vizier luidop de vraag stelt of de onbepaalde duur bij het huwelijk, de wettelijke samenwoning en de huwelijks- en samenlevingsovereenkomst zo onontbeerlijk is. Deze vraag heeft het recht om gesteld, gehoord en onderzocht te worden. Bijgevolg maakt het het onderwerp uit van deze masterthesis.</w:t>
      </w:r>
    </w:p>
    <w:p w14:paraId="2982CA33" w14:textId="77777777" w:rsidR="00BD18A3" w:rsidRDefault="00BD18A3" w:rsidP="00BD18A3">
      <w:pPr>
        <w:pStyle w:val="Kop2"/>
        <w:numPr>
          <w:ilvl w:val="0"/>
          <w:numId w:val="1"/>
        </w:numPr>
        <w:rPr>
          <w:lang w:val="nl-NL"/>
        </w:rPr>
      </w:pPr>
      <w:bookmarkStart w:id="7" w:name="_Toc167990437"/>
      <w:bookmarkStart w:id="8" w:name="_Toc152249664"/>
      <w:r>
        <w:rPr>
          <w:lang w:val="nl-NL"/>
        </w:rPr>
        <w:t>Pertinentie</w:t>
      </w:r>
      <w:bookmarkEnd w:id="7"/>
      <w:r>
        <w:rPr>
          <w:lang w:val="nl-NL"/>
        </w:rPr>
        <w:t xml:space="preserve"> </w:t>
      </w:r>
      <w:bookmarkEnd w:id="8"/>
    </w:p>
    <w:p w14:paraId="1993C000" w14:textId="77777777" w:rsidR="00BD18A3" w:rsidRPr="00816378" w:rsidRDefault="00BD18A3" w:rsidP="00BD18A3">
      <w:pPr>
        <w:pStyle w:val="Lijstalinea"/>
        <w:numPr>
          <w:ilvl w:val="0"/>
          <w:numId w:val="26"/>
        </w:numPr>
        <w:ind w:left="0" w:firstLine="0"/>
        <w:rPr>
          <w:lang w:val="nl-NL"/>
        </w:rPr>
      </w:pPr>
      <w:r w:rsidRPr="00816378">
        <w:rPr>
          <w:lang w:val="nl-NL"/>
        </w:rPr>
        <w:t>Iedereen kent wel iemand in diens omgeving waarvan het huwelijk ontbonden is door</w:t>
      </w:r>
      <w:r>
        <w:rPr>
          <w:lang w:val="nl-NL"/>
        </w:rPr>
        <w:t xml:space="preserve"> </w:t>
      </w:r>
      <w:r w:rsidRPr="00816378">
        <w:rPr>
          <w:lang w:val="nl-NL"/>
        </w:rPr>
        <w:t xml:space="preserve">echtscheiding. De opvatting leeft tevens dat mensen langsom minder kiezen om te </w:t>
      </w:r>
      <w:r w:rsidRPr="00816378">
        <w:rPr>
          <w:lang w:val="nl-NL"/>
        </w:rPr>
        <w:lastRenderedPageBreak/>
        <w:t>huwen. Dit is dan ook helemaal niet louter een perceptie, aangezien één op de drie huwelijksontbindingen binnen het Vlaams gewest het gevolg zijn van een echtscheiding.</w:t>
      </w:r>
      <w:r w:rsidRPr="00A3131B">
        <w:rPr>
          <w:rStyle w:val="Voetnootmarkering"/>
          <w:lang w:val="nl-NL"/>
        </w:rPr>
        <w:footnoteReference w:id="1"/>
      </w:r>
      <w:r w:rsidRPr="00816378">
        <w:rPr>
          <w:lang w:val="nl-NL"/>
        </w:rPr>
        <w:t xml:space="preserve"> Tevens blijkt overeenkomstig de gegevens van het Belgische statistiekbureau, </w:t>
      </w:r>
      <w:proofErr w:type="spellStart"/>
      <w:r w:rsidRPr="00816378">
        <w:rPr>
          <w:i/>
          <w:iCs/>
          <w:lang w:val="nl-NL"/>
        </w:rPr>
        <w:t>Statbel</w:t>
      </w:r>
      <w:proofErr w:type="spellEnd"/>
      <w:r w:rsidRPr="00816378">
        <w:rPr>
          <w:lang w:val="nl-NL"/>
        </w:rPr>
        <w:t>, dat het aantal huwelijken fors is gedaald sinds 1960 en de laatste jaren min of meer stagneert. In 2022 valt er wel een heropleving van het huwelijk vast te stellen met bijna negen percent meer voltrokken huwelijken dan het gemiddelde in de periode van 2017 tot 2019. Deze inhaalbeweging dient te worden bekeken in het licht van de COVID-19-pandemie. Vele koppels konden hun uitgestelde huwelijksplannen in dat jaar eindelijk verwezenlijkt zien worden.</w:t>
      </w:r>
      <w:r>
        <w:rPr>
          <w:rStyle w:val="Voetnootmarkering"/>
          <w:lang w:val="nl-NL"/>
        </w:rPr>
        <w:footnoteReference w:id="2"/>
      </w:r>
      <w:r w:rsidRPr="00816378">
        <w:rPr>
          <w:lang w:val="nl-NL"/>
        </w:rPr>
        <w:t xml:space="preserve"> Statistisch gezien kan er dus gesteld worden dat het aantal voltrokken huwelijken over het algemeen sinds 1960 een dalende trend vertoont en tevens dat vele van deze huwelijken ontbonden worden door middel van echtscheiding.</w:t>
      </w:r>
    </w:p>
    <w:p w14:paraId="54397FB0" w14:textId="77777777" w:rsidR="00BD18A3" w:rsidRPr="00A70BB0" w:rsidRDefault="00BD18A3" w:rsidP="00BD18A3">
      <w:pPr>
        <w:rPr>
          <w:lang w:val="nl-NL"/>
        </w:rPr>
      </w:pPr>
    </w:p>
    <w:p w14:paraId="3CE46BEA" w14:textId="77777777" w:rsidR="00BD18A3" w:rsidRPr="00816378" w:rsidRDefault="00BD18A3" w:rsidP="00BD18A3">
      <w:pPr>
        <w:pStyle w:val="Lijstalinea"/>
        <w:numPr>
          <w:ilvl w:val="0"/>
          <w:numId w:val="26"/>
        </w:numPr>
        <w:ind w:left="0" w:firstLine="0"/>
        <w:rPr>
          <w:lang w:val="nl-NL"/>
        </w:rPr>
      </w:pPr>
      <w:r w:rsidRPr="00816378">
        <w:rPr>
          <w:lang w:val="nl-NL"/>
        </w:rPr>
        <w:t>Dit in tegenstelling tot de wettelijke samenwoning, ingevoerd bij wet in 2000</w:t>
      </w:r>
      <w:r>
        <w:rPr>
          <w:rStyle w:val="Voetnootmarkering"/>
          <w:lang w:val="nl-NL"/>
        </w:rPr>
        <w:footnoteReference w:id="3"/>
      </w:r>
      <w:r w:rsidRPr="00816378">
        <w:rPr>
          <w:lang w:val="nl-NL"/>
        </w:rPr>
        <w:t>, dat</w:t>
      </w:r>
      <w:r>
        <w:rPr>
          <w:lang w:val="nl-NL"/>
        </w:rPr>
        <w:t xml:space="preserve"> </w:t>
      </w:r>
      <w:r w:rsidRPr="00816378">
        <w:rPr>
          <w:lang w:val="nl-NL"/>
        </w:rPr>
        <w:t>sedertdien een stijging ervoer van het aantal verklaringen van wettelijke samenwoning door de jaren heen. Waarna het cijfer van verklaringen van wettelijke samenwoning sinds 2010 vrij stabiel bleef.</w:t>
      </w:r>
      <w:r>
        <w:rPr>
          <w:rStyle w:val="Voetnootmarkering"/>
          <w:lang w:val="nl-NL"/>
        </w:rPr>
        <w:footnoteReference w:id="4"/>
      </w:r>
      <w:r w:rsidRPr="00816378">
        <w:rPr>
          <w:lang w:val="nl-NL"/>
        </w:rPr>
        <w:t xml:space="preserve"> </w:t>
      </w:r>
      <w:r>
        <w:rPr>
          <w:lang w:val="nl-NL"/>
        </w:rPr>
        <w:t>De belangstelling voor de wettelijke samenwoning is de laatste jaren alles behalve afgenomen.</w:t>
      </w:r>
      <w:r>
        <w:rPr>
          <w:rStyle w:val="Voetnootmarkering"/>
          <w:lang w:val="nl-NL"/>
        </w:rPr>
        <w:footnoteReference w:id="5"/>
      </w:r>
      <w:r>
        <w:rPr>
          <w:lang w:val="nl-NL"/>
        </w:rPr>
        <w:t xml:space="preserve"> </w:t>
      </w:r>
      <w:r w:rsidRPr="00816378">
        <w:rPr>
          <w:lang w:val="nl-NL"/>
        </w:rPr>
        <w:t xml:space="preserve">Er kan worden vastgesteld dat steeds minder koppels die duurzaam en intiem samenwonen, lijken te opteren voor het huwelijk en kiezen voor </w:t>
      </w:r>
      <w:r>
        <w:rPr>
          <w:lang w:val="nl-NL"/>
        </w:rPr>
        <w:t xml:space="preserve">de </w:t>
      </w:r>
      <w:r w:rsidRPr="00816378">
        <w:rPr>
          <w:lang w:val="nl-NL"/>
        </w:rPr>
        <w:t>wettelijke of zelfs feitelijke samenwoning.</w:t>
      </w:r>
      <w:r>
        <w:rPr>
          <w:rStyle w:val="Voetnootmarkering"/>
          <w:lang w:val="nl-NL"/>
        </w:rPr>
        <w:footnoteReference w:id="6"/>
      </w:r>
      <w:r w:rsidRPr="00816378">
        <w:rPr>
          <w:lang w:val="nl-NL"/>
        </w:rPr>
        <w:t xml:space="preserve"> </w:t>
      </w:r>
      <w:r w:rsidRPr="00451B0A">
        <w:t>Dat sluit aan bij vaststellingen die al dertig jaar geleden werden gedaan in een studie van 1991 door het Centrum voor Bevolkings- en Gezinsstudie.</w:t>
      </w:r>
      <w:r>
        <w:rPr>
          <w:rStyle w:val="Voetnootmarkering"/>
        </w:rPr>
        <w:footnoteReference w:id="7"/>
      </w:r>
      <w:r w:rsidRPr="00451B0A">
        <w:t xml:space="preserve"> </w:t>
      </w:r>
      <w:r w:rsidRPr="00816378">
        <w:rPr>
          <w:lang w:val="nl-NL"/>
        </w:rPr>
        <w:t>Binnen het Vlaams Gewest werd er in ruim zes op de tien (64 percent) van de gevallen een wettelijke samenwoning beëindigd omwille van het aangaan van een huwelijk. Meer dan één op drie (33 percent) van de aangegane wettelijke samenwoningen komt tot een einde doordat één of beide samenwonenden de wettelijke samenwoning wenste te beëindigen.</w:t>
      </w:r>
      <w:r>
        <w:rPr>
          <w:rStyle w:val="Voetnootmarkering"/>
          <w:lang w:val="nl-NL"/>
        </w:rPr>
        <w:footnoteReference w:id="8"/>
      </w:r>
      <w:r w:rsidRPr="00816378">
        <w:rPr>
          <w:lang w:val="nl-NL"/>
        </w:rPr>
        <w:t xml:space="preserve"> Samenvattend valt er uit deze statistieken af te leiden dat de </w:t>
      </w:r>
      <w:r w:rsidRPr="00816378">
        <w:rPr>
          <w:lang w:val="nl-NL"/>
        </w:rPr>
        <w:lastRenderedPageBreak/>
        <w:t>wettelijke samenwoning na haar invoering nog steeds populair is als relatievorm, maar dat in veel gevallen, net zoals bij het huwelijk, er ook een einde aan komt.</w:t>
      </w:r>
    </w:p>
    <w:p w14:paraId="220CB5D8" w14:textId="77777777" w:rsidR="00BD18A3" w:rsidRDefault="00BD18A3" w:rsidP="00BD18A3">
      <w:pPr>
        <w:rPr>
          <w:lang w:val="nl-NL"/>
        </w:rPr>
      </w:pPr>
    </w:p>
    <w:p w14:paraId="5CA8DE08" w14:textId="77777777" w:rsidR="00BD18A3" w:rsidRDefault="00BD18A3" w:rsidP="00BD18A3">
      <w:pPr>
        <w:pStyle w:val="Lijstalinea"/>
        <w:numPr>
          <w:ilvl w:val="0"/>
          <w:numId w:val="26"/>
        </w:numPr>
        <w:ind w:left="0" w:firstLine="0"/>
        <w:rPr>
          <w:lang w:val="nl-NL"/>
        </w:rPr>
      </w:pPr>
      <w:r w:rsidRPr="00816378">
        <w:rPr>
          <w:lang w:val="nl-NL"/>
        </w:rPr>
        <w:t>Afgaande op deze vaststelling zou de these naar voor kunnen worden geschoven dat vooreerst het aantal partners, die hun relatievorm wensen te institutionaliseren, dat de wettelijke samenwoning boven het huwelijk verkiest, blijft stijgen. Dit mogelijk omwille van de gemakkelijkere beëindiging van de wettelijke samenwoning. Ten tweede valt het niet te ontkennen dat er zowel voor het huwelijk als de wettelijke samenwoning een nood is aan mogelijkheden om hun geïnstitutionaliseerde relatievorm te beëindigen. Dit gezien het hoge cijfer van ontbindingen van het huwelijk en beëindigingen van de wettelijke samenwoning. Concluderend kan worden gesteld dat veel partners hun samenleven wensen te institutionaliseren, maar dat ook in veel gevallen het na verloop van</w:t>
      </w:r>
      <w:r>
        <w:rPr>
          <w:lang w:val="nl-NL"/>
        </w:rPr>
        <w:t xml:space="preserve"> tijd</w:t>
      </w:r>
      <w:r w:rsidRPr="00816378">
        <w:rPr>
          <w:lang w:val="nl-NL"/>
        </w:rPr>
        <w:t xml:space="preserve"> een einde kent. De nood aan geïnstitutionaliseerde relatievormen blijft onveranderd, maar de beëindiging ervan kent een groeiend belang. Bijgevolg zou er dus luidop kunnen worden nagedacht over nieuwe wijzen van de ontbinding van het huwelijk of beëindiging van de wettelijke samenwoning. </w:t>
      </w:r>
    </w:p>
    <w:p w14:paraId="555ACC72" w14:textId="77777777" w:rsidR="00BD18A3" w:rsidRPr="00816378" w:rsidRDefault="00BD18A3" w:rsidP="00BD18A3">
      <w:pPr>
        <w:pStyle w:val="Lijstalinea"/>
        <w:rPr>
          <w:lang w:val="nl-NL"/>
        </w:rPr>
      </w:pPr>
    </w:p>
    <w:p w14:paraId="17620EB4" w14:textId="77777777" w:rsidR="00BD18A3" w:rsidRPr="00816378" w:rsidRDefault="00BD18A3" w:rsidP="00BD18A3">
      <w:pPr>
        <w:pStyle w:val="Lijstalinea"/>
        <w:numPr>
          <w:ilvl w:val="0"/>
          <w:numId w:val="26"/>
        </w:numPr>
        <w:ind w:left="0" w:firstLine="0"/>
        <w:rPr>
          <w:lang w:val="nl-NL"/>
        </w:rPr>
      </w:pPr>
      <w:r w:rsidRPr="00816378">
        <w:rPr>
          <w:lang w:val="nl-NL"/>
        </w:rPr>
        <w:t>Gedurende de levensloop van een partnerrelatie veranderen de omstandigheden vaak, door bijvoorbeeld het krijgen van kinderen, het kopen van een huis of professionele paden kiezen in functie van gezin of carrière. Bij het aangaan van een huwelijks- of samenlevingsovereenkomst kan het zijn dat partners dit doen op basis van de huidige situatie, zonder rekening te houden met toekomstige veranderingen. Hierdoor kunnen huwelijks- of samenlevingsovereenkomsten na verloop van tijd achterhaald zijn. Om dit te voorkomen, zou een vervaldatum op dergelijke overeenkomsten nuttig kunnen zijn, zodat partners aangespoord worden om de relatievermogensrechtelijke overeenkomst opnieuw te evalueren en de economisch kwetsbaardere partner te beschermen.</w:t>
      </w:r>
    </w:p>
    <w:p w14:paraId="27DAC857" w14:textId="77777777" w:rsidR="00BD18A3" w:rsidRDefault="00BD18A3" w:rsidP="00BD18A3">
      <w:pPr>
        <w:rPr>
          <w:lang w:val="nl-NL"/>
        </w:rPr>
      </w:pPr>
    </w:p>
    <w:p w14:paraId="0F4466E2" w14:textId="77777777" w:rsidR="00BD18A3" w:rsidRPr="00816378" w:rsidRDefault="00BD18A3" w:rsidP="00BD18A3">
      <w:pPr>
        <w:pStyle w:val="Lijstalinea"/>
        <w:numPr>
          <w:ilvl w:val="0"/>
          <w:numId w:val="26"/>
        </w:numPr>
        <w:ind w:left="0" w:firstLine="0"/>
        <w:rPr>
          <w:lang w:val="nl-NL"/>
        </w:rPr>
      </w:pPr>
      <w:r w:rsidRPr="00816378">
        <w:rPr>
          <w:lang w:val="nl-NL"/>
        </w:rPr>
        <w:t>Sluit het huwelijk, de wettelijke samenleving en de huwelijks- en samenlevingsovereenkomst in de vorm van vandaag, meer specifiek de wijzen van ontbinding en beëindiging ervan, nog het best aan op de noden en wensen van de samenleving van morgen?</w:t>
      </w:r>
    </w:p>
    <w:p w14:paraId="4E2BA532" w14:textId="77777777" w:rsidR="00BD18A3" w:rsidRDefault="00BD18A3" w:rsidP="00BD18A3">
      <w:pPr>
        <w:pStyle w:val="Kop2"/>
        <w:numPr>
          <w:ilvl w:val="0"/>
          <w:numId w:val="1"/>
        </w:numPr>
      </w:pPr>
      <w:bookmarkStart w:id="9" w:name="_Toc167990438"/>
      <w:bookmarkStart w:id="10" w:name="_Toc149054322"/>
      <w:bookmarkStart w:id="11" w:name="_Toc149054581"/>
      <w:bookmarkStart w:id="12" w:name="_Toc152249665"/>
      <w:r>
        <w:t>Afbakening</w:t>
      </w:r>
      <w:bookmarkEnd w:id="9"/>
      <w:r>
        <w:t xml:space="preserve"> </w:t>
      </w:r>
      <w:bookmarkEnd w:id="10"/>
      <w:bookmarkEnd w:id="11"/>
      <w:bookmarkEnd w:id="12"/>
    </w:p>
    <w:p w14:paraId="7B6D58BC" w14:textId="77777777" w:rsidR="00BD18A3" w:rsidRPr="00A47349" w:rsidRDefault="00BD18A3" w:rsidP="00BD18A3">
      <w:pPr>
        <w:pStyle w:val="Lijstalinea"/>
        <w:numPr>
          <w:ilvl w:val="0"/>
          <w:numId w:val="26"/>
        </w:numPr>
        <w:ind w:left="0" w:firstLine="0"/>
        <w:rPr>
          <w:lang w:val="nl-NL"/>
        </w:rPr>
      </w:pPr>
      <w:r>
        <w:rPr>
          <w:lang w:val="nl-NL"/>
        </w:rPr>
        <w:t xml:space="preserve"> </w:t>
      </w:r>
      <w:r w:rsidRPr="00A47349">
        <w:rPr>
          <w:lang w:val="nl-NL"/>
        </w:rPr>
        <w:t xml:space="preserve">Binnen het Belgisch nationaal recht dient er een onderscheid gemaakt te worden binnen het familierecht tussen het horizontaal en verticaal familierecht. Het verticaal familierecht omvat de solidariteit over de generaties heen, terwijl het horizontaal </w:t>
      </w:r>
      <w:r w:rsidRPr="00A47349">
        <w:rPr>
          <w:lang w:val="nl-NL"/>
        </w:rPr>
        <w:lastRenderedPageBreak/>
        <w:t>familierecht de solidariteit tussen partners behept.</w:t>
      </w:r>
      <w:r w:rsidRPr="00A3131B">
        <w:rPr>
          <w:rStyle w:val="Voetnootmarkering"/>
          <w:lang w:val="nl-NL"/>
        </w:rPr>
        <w:footnoteReference w:id="9"/>
      </w:r>
      <w:r w:rsidRPr="00A47349">
        <w:rPr>
          <w:lang w:val="nl-NL"/>
        </w:rPr>
        <w:t xml:space="preserve"> Dit onderzoek over partnerrelaties van bepaalde duur bevindt zich in dit horizontale luik van het familierecht.</w:t>
      </w:r>
    </w:p>
    <w:p w14:paraId="2CF221E1" w14:textId="77777777" w:rsidR="00BD18A3" w:rsidRDefault="00BD18A3" w:rsidP="00BD18A3">
      <w:pPr>
        <w:rPr>
          <w:lang w:val="nl-NL"/>
        </w:rPr>
      </w:pPr>
    </w:p>
    <w:p w14:paraId="600A78B2" w14:textId="77777777" w:rsidR="00BD18A3" w:rsidRDefault="00BD18A3" w:rsidP="00BD18A3">
      <w:pPr>
        <w:pStyle w:val="Lijstalinea"/>
        <w:numPr>
          <w:ilvl w:val="0"/>
          <w:numId w:val="26"/>
        </w:numPr>
        <w:ind w:left="0" w:firstLine="0"/>
        <w:rPr>
          <w:lang w:val="nl-NL"/>
        </w:rPr>
      </w:pPr>
      <w:r w:rsidRPr="00A47349">
        <w:rPr>
          <w:lang w:val="nl-NL"/>
        </w:rPr>
        <w:t>Het begrip partnerrelaties fungeert binnen deze masterthesis als overkoepelende term voor relatievormen enerzijds en relatievermogensrechtelijke</w:t>
      </w:r>
      <w:r>
        <w:rPr>
          <w:lang w:val="nl-NL"/>
        </w:rPr>
        <w:t xml:space="preserve"> </w:t>
      </w:r>
      <w:r w:rsidRPr="00A47349">
        <w:rPr>
          <w:lang w:val="nl-NL"/>
        </w:rPr>
        <w:t>overeenkomsten anderzijds.</w:t>
      </w:r>
      <w:r>
        <w:rPr>
          <w:lang w:val="nl-NL"/>
        </w:rPr>
        <w:t xml:space="preserve"> </w:t>
      </w:r>
    </w:p>
    <w:p w14:paraId="0CC53B34" w14:textId="77777777" w:rsidR="00BD18A3" w:rsidRPr="00D650FB" w:rsidRDefault="00BD18A3" w:rsidP="00BD18A3">
      <w:pPr>
        <w:pStyle w:val="Lijstalinea"/>
        <w:rPr>
          <w:lang w:val="nl-NL"/>
        </w:rPr>
      </w:pPr>
    </w:p>
    <w:p w14:paraId="057CFB02" w14:textId="77777777" w:rsidR="00BD18A3" w:rsidRDefault="00BD18A3" w:rsidP="00BD18A3">
      <w:pPr>
        <w:pStyle w:val="Lijstalinea"/>
        <w:numPr>
          <w:ilvl w:val="0"/>
          <w:numId w:val="26"/>
        </w:numPr>
        <w:ind w:left="0" w:firstLine="0"/>
        <w:rPr>
          <w:lang w:val="nl-NL"/>
        </w:rPr>
      </w:pPr>
      <w:r w:rsidRPr="00C750E0">
        <w:rPr>
          <w:lang w:val="nl-NL"/>
        </w:rPr>
        <w:t xml:space="preserve">De term relatievormen omvat het huwelijk en de wettelijke samenwoning. Relatievormen binnen dit onderzoek zijn namelijk enkel degene die een gezamenlijke huishoudcomponent bevatten. Vanwege de loutere feitelijke toestand van de feitelijke samenwoning, is de keuze van de duur volledig vrij, waardoor de feitelijke samenwoning buiten dit onderzoek valt. Bijgevolg ressorteert de feitelijke samenwoning hier niet onder de term relatievorm. </w:t>
      </w:r>
    </w:p>
    <w:p w14:paraId="26B62949" w14:textId="77777777" w:rsidR="00BD18A3" w:rsidRPr="00D650FB" w:rsidRDefault="00BD18A3" w:rsidP="00BD18A3">
      <w:pPr>
        <w:pStyle w:val="Lijstalinea"/>
        <w:rPr>
          <w:lang w:val="nl-NL"/>
        </w:rPr>
      </w:pPr>
    </w:p>
    <w:p w14:paraId="355A99C8" w14:textId="77777777" w:rsidR="00BD18A3" w:rsidRPr="00C750E0" w:rsidRDefault="00BD18A3" w:rsidP="00BD18A3">
      <w:pPr>
        <w:pStyle w:val="Lijstalinea"/>
        <w:numPr>
          <w:ilvl w:val="0"/>
          <w:numId w:val="26"/>
        </w:numPr>
        <w:ind w:left="0" w:firstLine="0"/>
        <w:rPr>
          <w:lang w:val="nl-NL"/>
        </w:rPr>
      </w:pPr>
      <w:r w:rsidRPr="00C750E0">
        <w:rPr>
          <w:lang w:val="nl-NL"/>
        </w:rPr>
        <w:t>De term relatievermogensrechtelijke overeenkomsten doelt op de huwelijks- en samenlevingsovereenkomsten.</w:t>
      </w:r>
      <w:r>
        <w:rPr>
          <w:lang w:val="nl-NL"/>
        </w:rPr>
        <w:t xml:space="preserve"> Deze bevat de relatievermogensrechtelijke regeling.</w:t>
      </w:r>
    </w:p>
    <w:p w14:paraId="6FCA5356" w14:textId="77777777" w:rsidR="00BD18A3" w:rsidRDefault="00BD18A3" w:rsidP="00BD18A3">
      <w:pPr>
        <w:rPr>
          <w:lang w:val="nl-NL"/>
        </w:rPr>
      </w:pPr>
    </w:p>
    <w:p w14:paraId="3FEC0799" w14:textId="77777777" w:rsidR="00BD18A3" w:rsidRPr="004B36B9" w:rsidRDefault="00BD18A3" w:rsidP="00BD18A3">
      <w:pPr>
        <w:pStyle w:val="Lijstalinea"/>
        <w:numPr>
          <w:ilvl w:val="0"/>
          <w:numId w:val="26"/>
        </w:numPr>
        <w:ind w:left="0" w:firstLine="0"/>
        <w:rPr>
          <w:lang w:val="nl-NL"/>
        </w:rPr>
      </w:pPr>
      <w:r w:rsidRPr="004B36B9">
        <w:rPr>
          <w:lang w:val="nl-NL"/>
        </w:rPr>
        <w:t xml:space="preserve">Deze masterthesis onderzoekt partnerrelaties van bepaalde duur. Meer bepaald wordt de piste van relatievormen van bepaalde duur: het huwelijk en de wettelijke samenwoning van bepaalde duur onderzocht. Net zoals de relatievermogensrechtelijke overeenkomsten van bepaalde duur: </w:t>
      </w:r>
      <w:r>
        <w:rPr>
          <w:lang w:val="nl-NL"/>
        </w:rPr>
        <w:t xml:space="preserve">de </w:t>
      </w:r>
      <w:r w:rsidRPr="004B36B9">
        <w:rPr>
          <w:lang w:val="nl-NL"/>
        </w:rPr>
        <w:t>huwelijks- en samenlevingsovereenkomst van bepaalde duur worden bestudeerd.</w:t>
      </w:r>
    </w:p>
    <w:p w14:paraId="5CEC4E13" w14:textId="77777777" w:rsidR="00BD18A3" w:rsidRPr="00007EE2" w:rsidRDefault="00BD18A3" w:rsidP="00BD18A3">
      <w:pPr>
        <w:rPr>
          <w:lang w:val="nl-NL"/>
        </w:rPr>
      </w:pPr>
    </w:p>
    <w:p w14:paraId="707C1268" w14:textId="77777777" w:rsidR="00BD18A3" w:rsidRPr="003F3A08" w:rsidRDefault="00BD18A3" w:rsidP="00BD18A3">
      <w:pPr>
        <w:pStyle w:val="Lijstalinea"/>
        <w:numPr>
          <w:ilvl w:val="0"/>
          <w:numId w:val="26"/>
        </w:numPr>
        <w:ind w:left="0" w:firstLine="0"/>
        <w:rPr>
          <w:lang w:val="nl-NL"/>
        </w:rPr>
      </w:pPr>
      <w:r w:rsidRPr="003F3A08">
        <w:rPr>
          <w:lang w:val="nl-NL"/>
        </w:rPr>
        <w:t>In dit onderzoek zal de huidige wetgeving inzake partnerrelaties onder de loep worden genomen. Er zal een synthese worden gemaakt van de hedendaagse positiefrechtelijke wetgeving in combinatie met de pertinente rechtspraak en doctrine. Binnen deze thesis zal er naast het zuiver rechtswetenschappelijke ook een rechtshistorische component aanwezig zijn. Er zal worden nagegaan waar de oorsprong ligt van het karakter van onbepaalde duur in correlatie met de historische maatschappelijke opvatting. Tevens zal worden belicht of de evolutie in maatschappelijk denken kan leiden tot een afwijkende visie op het karakter van onbepaalde duur van het huwelijk, de wettelijke samenwoning en de huwelijks- en samenlevingsovereenkomst.</w:t>
      </w:r>
    </w:p>
    <w:p w14:paraId="62DB0203" w14:textId="77777777" w:rsidR="00BD18A3" w:rsidRPr="00BA04AA" w:rsidRDefault="00BD18A3" w:rsidP="00BD18A3">
      <w:pPr>
        <w:rPr>
          <w:lang w:val="nl-NL"/>
        </w:rPr>
      </w:pPr>
    </w:p>
    <w:p w14:paraId="06E90C07" w14:textId="77777777" w:rsidR="00BD18A3" w:rsidRPr="003F3A08" w:rsidRDefault="00BD18A3" w:rsidP="00BD18A3">
      <w:pPr>
        <w:pStyle w:val="Lijstalinea"/>
        <w:numPr>
          <w:ilvl w:val="0"/>
          <w:numId w:val="26"/>
        </w:numPr>
        <w:ind w:left="0" w:firstLine="0"/>
        <w:rPr>
          <w:lang w:val="nl-NL"/>
        </w:rPr>
      </w:pPr>
      <w:r w:rsidRPr="003F3A08">
        <w:rPr>
          <w:lang w:val="nl-NL"/>
        </w:rPr>
        <w:t>Binnen dit onderzoek zal er actief worden onderzocht of en desgevallend op welke mogelijke wijze relatievormen van bepaalde duur: het huwelijk van bepaalde duur en de wettelijke samenwoning van bepaalde duur, een plaats k</w:t>
      </w:r>
      <w:r>
        <w:rPr>
          <w:lang w:val="nl-NL"/>
        </w:rPr>
        <w:t>unnen</w:t>
      </w:r>
      <w:r w:rsidRPr="003F3A08">
        <w:rPr>
          <w:lang w:val="nl-NL"/>
        </w:rPr>
        <w:t xml:space="preserve"> vinden binnen het </w:t>
      </w:r>
      <w:r w:rsidRPr="003F3A08">
        <w:rPr>
          <w:lang w:val="nl-NL"/>
        </w:rPr>
        <w:lastRenderedPageBreak/>
        <w:t>rechtsbestel. Daarnaast wordt er nagegaan hoe er aan de relatievermogensrechtelijke overeenkomst</w:t>
      </w:r>
      <w:r>
        <w:rPr>
          <w:lang w:val="nl-NL"/>
        </w:rPr>
        <w:t xml:space="preserve"> van bepaalde duur</w:t>
      </w:r>
      <w:r w:rsidRPr="003F3A08">
        <w:rPr>
          <w:lang w:val="nl-NL"/>
        </w:rPr>
        <w:t xml:space="preserve">: de huwelijks- en samenlevingsovereenkomst van bepaalde duur vorm kan worden gegeven.  </w:t>
      </w:r>
    </w:p>
    <w:p w14:paraId="357F2157" w14:textId="77777777" w:rsidR="00BD18A3" w:rsidRDefault="00BD18A3" w:rsidP="00BD18A3">
      <w:pPr>
        <w:rPr>
          <w:lang w:val="nl-NL"/>
        </w:rPr>
      </w:pPr>
    </w:p>
    <w:p w14:paraId="692ED44E" w14:textId="77777777" w:rsidR="00BD18A3" w:rsidRPr="00D650FB" w:rsidRDefault="00BD18A3" w:rsidP="00BD18A3">
      <w:pPr>
        <w:pStyle w:val="Lijstalinea"/>
        <w:numPr>
          <w:ilvl w:val="0"/>
          <w:numId w:val="26"/>
        </w:numPr>
        <w:ind w:left="0" w:firstLine="0"/>
        <w:rPr>
          <w:lang w:val="nl-NL"/>
        </w:rPr>
      </w:pPr>
      <w:r w:rsidRPr="00D650FB">
        <w:rPr>
          <w:lang w:val="nl-NL"/>
        </w:rPr>
        <w:t>In het zog van de recente creatie van het nieuw boek twee van het Burgerlijke Wetboek is er een mogelijkheid om de artikelen omtrent het huwelijk en wettelijke samenwoning grondig te bestuderen en te analyseren. Dit heeft tot doel na te gaan welke artikelen partnerrelaties van bepaalde duur in de weg staan, met als doelstelling mogelijke aanpassingen voor te stellen voor het Burgerlijke Wetboek.</w:t>
      </w:r>
    </w:p>
    <w:p w14:paraId="44939C09" w14:textId="77777777" w:rsidR="00BD18A3" w:rsidRPr="0065233D" w:rsidRDefault="00BD18A3" w:rsidP="00BD18A3">
      <w:pPr>
        <w:pStyle w:val="Kop2"/>
        <w:numPr>
          <w:ilvl w:val="0"/>
          <w:numId w:val="1"/>
        </w:numPr>
      </w:pPr>
      <w:bookmarkStart w:id="13" w:name="_Toc149054323"/>
      <w:bookmarkStart w:id="14" w:name="_Toc149054582"/>
      <w:bookmarkStart w:id="15" w:name="_Toc152249666"/>
      <w:bookmarkStart w:id="16" w:name="_Toc167990439"/>
      <w:r>
        <w:t>Structuur</w:t>
      </w:r>
      <w:bookmarkEnd w:id="13"/>
      <w:bookmarkEnd w:id="14"/>
      <w:bookmarkEnd w:id="15"/>
      <w:bookmarkEnd w:id="16"/>
    </w:p>
    <w:p w14:paraId="6DD5EE17" w14:textId="77777777" w:rsidR="00BD18A3" w:rsidRPr="0071702A" w:rsidRDefault="00BD18A3" w:rsidP="00BD18A3">
      <w:pPr>
        <w:pStyle w:val="Lijstalinea"/>
        <w:numPr>
          <w:ilvl w:val="0"/>
          <w:numId w:val="26"/>
        </w:numPr>
        <w:ind w:left="0" w:firstLine="0"/>
        <w:rPr>
          <w:lang w:val="nl-NL"/>
        </w:rPr>
      </w:pPr>
      <w:r w:rsidRPr="0071702A">
        <w:rPr>
          <w:lang w:val="nl-NL"/>
        </w:rPr>
        <w:t>De masterthesis zal worden opgebouwd in</w:t>
      </w:r>
      <w:r>
        <w:rPr>
          <w:lang w:val="nl-NL"/>
        </w:rPr>
        <w:t xml:space="preserve"> vier </w:t>
      </w:r>
      <w:r w:rsidRPr="0071702A">
        <w:rPr>
          <w:lang w:val="nl-NL"/>
        </w:rPr>
        <w:t xml:space="preserve">delen. Het eerste deel geeft de huidige stand van het recht omtrent de relatievormen weer. Hierbij wordt het huwelijk, de wettelijke samenwoning en (in beperkte mate) de feitelijke samenwoning onder de loep genomen. Dit zal worden gekoppeld aan een rechtshistorische component met als doel </w:t>
      </w:r>
      <w:proofErr w:type="gramStart"/>
      <w:r w:rsidRPr="0071702A">
        <w:rPr>
          <w:lang w:val="nl-NL"/>
        </w:rPr>
        <w:t xml:space="preserve">de  </w:t>
      </w:r>
      <w:r w:rsidRPr="0071702A">
        <w:rPr>
          <w:i/>
          <w:iCs/>
          <w:lang w:val="nl-NL"/>
        </w:rPr>
        <w:t>ratio</w:t>
      </w:r>
      <w:proofErr w:type="gramEnd"/>
      <w:r w:rsidRPr="0071702A">
        <w:rPr>
          <w:i/>
          <w:iCs/>
          <w:lang w:val="nl-NL"/>
        </w:rPr>
        <w:t xml:space="preserve"> legis</w:t>
      </w:r>
      <w:r w:rsidRPr="0071702A">
        <w:rPr>
          <w:lang w:val="nl-NL"/>
        </w:rPr>
        <w:t xml:space="preserve"> van de bepaalde duur te achterhalen. Tevens zullen de reeds doorgemaakte ontwikkelingen met betrekking tot de opvattingen omtrent de duur van het huwelijk en de wettelijke samenwoning belicht worden.</w:t>
      </w:r>
    </w:p>
    <w:p w14:paraId="431BECFB" w14:textId="77777777" w:rsidR="00BD18A3" w:rsidRPr="00BA04AA" w:rsidRDefault="00BD18A3" w:rsidP="00BD18A3">
      <w:pPr>
        <w:rPr>
          <w:lang w:val="nl-NL"/>
        </w:rPr>
      </w:pPr>
    </w:p>
    <w:p w14:paraId="215F2025" w14:textId="77777777" w:rsidR="00BD18A3" w:rsidRDefault="00BD18A3" w:rsidP="00BD18A3">
      <w:pPr>
        <w:pStyle w:val="Lijstalinea"/>
        <w:numPr>
          <w:ilvl w:val="0"/>
          <w:numId w:val="26"/>
        </w:numPr>
        <w:ind w:left="0" w:firstLine="0"/>
        <w:rPr>
          <w:lang w:val="nl-NL"/>
        </w:rPr>
      </w:pPr>
      <w:r w:rsidRPr="00021F37">
        <w:rPr>
          <w:lang w:val="nl-NL"/>
        </w:rPr>
        <w:t>In het tweede deel zal worden onderzocht op welke hinderpalen het huwelijk en de wettelijke samenwoning van bepaalde duur kan stuiten. Door middel van een gestaafde juridische redenering, zal er worden nagegaan of deze drempels overwonnen kunnen worden. Vervolgens zal er worden nagetrokken of en desgevallend op welke manier het mogelijk is relatievormen van bepaalde duur te integreren in het Burgerlijk Wetboek. Er zal worden nagegaan op welke wijze de wetgeving zou kunnen evolueren om zo het huwelijk en de wettelijke samenwoning van bepaalde duur te realiseren. Ook wordt er bekeken hoe er aan het huwelijk en de wettelijke samenwoning van bepaalde duur tussen partners invulling kan worden gegeven. De duur, de wederzijdse rechten en plichten tussen partners, de actoren die een rol spelen bij het huwelijk en de wettelijke samenwoning van bepaalde duur en hoe dit administratief in zijn werk gaat, worden naderhand besproken. Daaropvolgend worden de wijzen om het huwelijk en de wettelijke samenwoning van bepaalde duur nieuw leven in te blazen belicht. Net zoals er een hoofdstuk</w:t>
      </w:r>
      <w:r>
        <w:rPr>
          <w:lang w:val="nl-NL"/>
        </w:rPr>
        <w:t>ken</w:t>
      </w:r>
      <w:r w:rsidRPr="00021F37">
        <w:rPr>
          <w:lang w:val="nl-NL"/>
        </w:rPr>
        <w:t xml:space="preserve"> word</w:t>
      </w:r>
      <w:r>
        <w:rPr>
          <w:lang w:val="nl-NL"/>
        </w:rPr>
        <w:t>en</w:t>
      </w:r>
      <w:r w:rsidRPr="00021F37">
        <w:rPr>
          <w:lang w:val="nl-NL"/>
        </w:rPr>
        <w:t xml:space="preserve"> gewijd aan het</w:t>
      </w:r>
      <w:r>
        <w:rPr>
          <w:lang w:val="nl-NL"/>
        </w:rPr>
        <w:t xml:space="preserve"> implementeren van een beperking op het aantal opeenvolgende relatievormen van bepaalde duur en het integreren </w:t>
      </w:r>
      <w:r w:rsidRPr="00021F37">
        <w:rPr>
          <w:lang w:val="nl-NL"/>
        </w:rPr>
        <w:t>van wachttermijnen</w:t>
      </w:r>
      <w:r>
        <w:rPr>
          <w:lang w:val="nl-NL"/>
        </w:rPr>
        <w:t xml:space="preserve"> om effectief tot een beëindiging van de relatievorm over te gaan</w:t>
      </w:r>
      <w:r w:rsidRPr="00021F37">
        <w:rPr>
          <w:lang w:val="nl-NL"/>
        </w:rPr>
        <w:t>. Tot slot wordt de beëindiging van de relatievormen van bepaalde duur en de gevolgen hiervan onder de loep genomen.</w:t>
      </w:r>
    </w:p>
    <w:p w14:paraId="5960DF71" w14:textId="77777777" w:rsidR="00BD18A3" w:rsidRPr="00021F37" w:rsidRDefault="00BD18A3" w:rsidP="00BD18A3">
      <w:pPr>
        <w:pStyle w:val="Lijstalinea"/>
        <w:rPr>
          <w:lang w:val="nl-NL"/>
        </w:rPr>
      </w:pPr>
    </w:p>
    <w:p w14:paraId="7468CE23" w14:textId="77777777" w:rsidR="00BD18A3" w:rsidRPr="00685875" w:rsidRDefault="00BD18A3" w:rsidP="00BD18A3">
      <w:pPr>
        <w:pStyle w:val="Lijstalinea"/>
        <w:numPr>
          <w:ilvl w:val="0"/>
          <w:numId w:val="26"/>
        </w:numPr>
        <w:ind w:left="0" w:firstLine="0"/>
        <w:rPr>
          <w:lang w:val="nl-NL"/>
        </w:rPr>
      </w:pPr>
      <w:r w:rsidRPr="00685875">
        <w:rPr>
          <w:lang w:val="nl-NL"/>
        </w:rPr>
        <w:lastRenderedPageBreak/>
        <w:t>In het derde deel wordt de piste van de relatievermogensrechtelijke overeenkomsten van bepaalde duur bewandeld. Er wordt uitgespit hoe de huwelijks- en samenlevingsovereenkomst van bepaalde duur zijn intrede in het Belgisch recht kan maken. Teneinde misbruik te voorkomen, zal er worden onderzocht of aan de relatievermogensrechtelijke overeenkomsten van bepaalde duur een minimumduur gekoppeld moet worden. Vervolgens gaan er hoofdstukken in over de mogelijkheid van verlenging, vernieuwing en wijziging van de huwelijks- of samenlevingsovereenkomst.</w:t>
      </w:r>
    </w:p>
    <w:p w14:paraId="73B8F79E" w14:textId="77777777" w:rsidR="00BD18A3" w:rsidRDefault="00BD18A3" w:rsidP="00BD18A3">
      <w:pPr>
        <w:rPr>
          <w:lang w:val="nl-NL"/>
        </w:rPr>
      </w:pPr>
    </w:p>
    <w:p w14:paraId="1A005F9D" w14:textId="77777777" w:rsidR="00BD18A3" w:rsidRPr="00685875" w:rsidRDefault="00BD18A3" w:rsidP="00BD18A3">
      <w:pPr>
        <w:pStyle w:val="Lijstalinea"/>
        <w:numPr>
          <w:ilvl w:val="0"/>
          <w:numId w:val="26"/>
        </w:numPr>
        <w:ind w:left="0" w:firstLine="0"/>
        <w:rPr>
          <w:lang w:val="nl-NL"/>
        </w:rPr>
      </w:pPr>
      <w:r w:rsidRPr="00685875">
        <w:rPr>
          <w:lang w:val="nl-NL"/>
        </w:rPr>
        <w:t xml:space="preserve">Tot slot wordt in het vierde en laatste deel de link tussen </w:t>
      </w:r>
      <w:r>
        <w:rPr>
          <w:lang w:val="nl-NL"/>
        </w:rPr>
        <w:t>relatievormen</w:t>
      </w:r>
      <w:r w:rsidRPr="00685875">
        <w:rPr>
          <w:lang w:val="nl-NL"/>
        </w:rPr>
        <w:t xml:space="preserve"> van </w:t>
      </w:r>
      <w:r>
        <w:rPr>
          <w:lang w:val="nl-NL"/>
        </w:rPr>
        <w:t>(on)</w:t>
      </w:r>
      <w:r w:rsidRPr="00685875">
        <w:rPr>
          <w:lang w:val="nl-NL"/>
        </w:rPr>
        <w:t xml:space="preserve">bepaalde duur en relatievermogensrechtelijke overeenkomsten van </w:t>
      </w:r>
      <w:r>
        <w:rPr>
          <w:lang w:val="nl-NL"/>
        </w:rPr>
        <w:t xml:space="preserve">(on) </w:t>
      </w:r>
      <w:r w:rsidRPr="00685875">
        <w:rPr>
          <w:lang w:val="nl-NL"/>
        </w:rPr>
        <w:t>bepaalde duur gemaakt. De hypotheses bestrijken de verschillende combinatiemogelijkheden tussen het huwelijk en de wettelijke samenwoning</w:t>
      </w:r>
      <w:r>
        <w:rPr>
          <w:lang w:val="nl-NL"/>
        </w:rPr>
        <w:t xml:space="preserve"> </w:t>
      </w:r>
      <w:r w:rsidRPr="00685875">
        <w:rPr>
          <w:lang w:val="nl-NL"/>
        </w:rPr>
        <w:t>enerzijds met de huwelijks- en samenlevingsovereenkomst anderzijds</w:t>
      </w:r>
      <w:r>
        <w:rPr>
          <w:lang w:val="nl-NL"/>
        </w:rPr>
        <w:t>, al dan niet van bepaalde duur</w:t>
      </w:r>
      <w:r w:rsidRPr="00685875">
        <w:rPr>
          <w:lang w:val="nl-NL"/>
        </w:rPr>
        <w:t>.</w:t>
      </w:r>
      <w:r>
        <w:rPr>
          <w:lang w:val="nl-NL"/>
        </w:rPr>
        <w:t xml:space="preserve"> Op deze wijze wordt het geheel aan partnerrelaties van (on)bepaalde duur besproken.</w:t>
      </w:r>
    </w:p>
    <w:p w14:paraId="1B60BD37" w14:textId="77777777" w:rsidR="00BD18A3" w:rsidRDefault="00BD18A3" w:rsidP="00BD18A3">
      <w:pPr>
        <w:spacing w:line="240" w:lineRule="auto"/>
        <w:jc w:val="left"/>
        <w:rPr>
          <w:lang w:val="nl-NL"/>
        </w:rPr>
      </w:pPr>
      <w:r>
        <w:rPr>
          <w:lang w:val="nl-NL"/>
        </w:rPr>
        <w:br w:type="page"/>
      </w:r>
    </w:p>
    <w:p w14:paraId="69479CC7" w14:textId="77777777" w:rsidR="00BD18A3" w:rsidRPr="005F05FB" w:rsidRDefault="00BD18A3" w:rsidP="00BD18A3">
      <w:pPr>
        <w:pStyle w:val="Kop1"/>
        <w:rPr>
          <w:i/>
          <w:iCs/>
          <w:lang w:val="nl-NL"/>
        </w:rPr>
      </w:pPr>
      <w:bookmarkStart w:id="17" w:name="_Toc167990440"/>
      <w:r>
        <w:rPr>
          <w:lang w:val="nl-NL"/>
        </w:rPr>
        <w:lastRenderedPageBreak/>
        <w:t xml:space="preserve">DEEL I: Relatievormen </w:t>
      </w:r>
      <w:r>
        <w:rPr>
          <w:i/>
          <w:iCs/>
          <w:lang w:val="nl-NL"/>
        </w:rPr>
        <w:t xml:space="preserve">de lege </w:t>
      </w:r>
      <w:proofErr w:type="spellStart"/>
      <w:r>
        <w:rPr>
          <w:i/>
          <w:iCs/>
          <w:lang w:val="nl-NL"/>
        </w:rPr>
        <w:t>lata</w:t>
      </w:r>
      <w:bookmarkEnd w:id="17"/>
      <w:proofErr w:type="spellEnd"/>
    </w:p>
    <w:p w14:paraId="7B56682A" w14:textId="77777777" w:rsidR="00BD18A3" w:rsidRPr="00685875" w:rsidRDefault="00BD18A3" w:rsidP="00BD18A3">
      <w:pPr>
        <w:pStyle w:val="Lijstalinea"/>
        <w:numPr>
          <w:ilvl w:val="0"/>
          <w:numId w:val="26"/>
        </w:numPr>
        <w:ind w:left="0" w:firstLine="0"/>
        <w:rPr>
          <w:lang w:val="nl-NL"/>
        </w:rPr>
      </w:pPr>
      <w:r w:rsidRPr="00685875">
        <w:rPr>
          <w:lang w:val="nl-NL"/>
        </w:rPr>
        <w:t>In het Belgisch recht zijn er twee soorten relatievormen geïnstitutionaliseerd: het huwelijk en de wettelijke samenwoning</w:t>
      </w:r>
      <w:r>
        <w:rPr>
          <w:lang w:val="nl-NL"/>
        </w:rPr>
        <w:t>.</w:t>
      </w:r>
      <w:r w:rsidRPr="00A3131B">
        <w:rPr>
          <w:rStyle w:val="Voetnootmarkering"/>
          <w:lang w:val="nl-NL"/>
        </w:rPr>
        <w:footnoteReference w:id="10"/>
      </w:r>
      <w:r>
        <w:rPr>
          <w:lang w:val="nl-NL"/>
        </w:rPr>
        <w:t xml:space="preserve"> </w:t>
      </w:r>
      <w:r w:rsidRPr="00685875">
        <w:rPr>
          <w:lang w:val="nl-NL"/>
        </w:rPr>
        <w:t>Een feitelijke samenwoning is ook mogelijk, enkel is het juridisch kader hieromtrent beperkt tot het gemeen recht.</w:t>
      </w:r>
      <w:r>
        <w:rPr>
          <w:rStyle w:val="Voetnootmarkering"/>
          <w:lang w:val="nl-NL"/>
        </w:rPr>
        <w:footnoteReference w:id="11"/>
      </w:r>
      <w:r w:rsidRPr="00685875">
        <w:rPr>
          <w:lang w:val="nl-NL"/>
        </w:rPr>
        <w:t xml:space="preserve"> </w:t>
      </w:r>
    </w:p>
    <w:p w14:paraId="3CE70659" w14:textId="77777777" w:rsidR="00BD18A3" w:rsidRDefault="00BD18A3" w:rsidP="00BD18A3">
      <w:pPr>
        <w:pStyle w:val="Kop2"/>
        <w:rPr>
          <w:lang w:val="nl-NL"/>
        </w:rPr>
      </w:pPr>
      <w:bookmarkStart w:id="18" w:name="_Toc167990441"/>
      <w:r>
        <w:rPr>
          <w:lang w:val="nl-NL"/>
        </w:rPr>
        <w:t>Hoofdstuk 1. Huwelijk</w:t>
      </w:r>
      <w:bookmarkEnd w:id="18"/>
    </w:p>
    <w:p w14:paraId="05EB5E2D" w14:textId="77777777" w:rsidR="00BD18A3" w:rsidRPr="00EC6BF4" w:rsidRDefault="00BD18A3" w:rsidP="00BD18A3">
      <w:pPr>
        <w:pStyle w:val="Kop3"/>
        <w:numPr>
          <w:ilvl w:val="0"/>
          <w:numId w:val="2"/>
        </w:numPr>
        <w:ind w:left="426"/>
        <w:rPr>
          <w:lang w:val="nl-NL"/>
        </w:rPr>
      </w:pPr>
      <w:r>
        <w:rPr>
          <w:lang w:val="nl-NL"/>
        </w:rPr>
        <w:t xml:space="preserve"> </w:t>
      </w:r>
      <w:bookmarkStart w:id="19" w:name="_Toc167990442"/>
      <w:r>
        <w:rPr>
          <w:lang w:val="nl-NL"/>
        </w:rPr>
        <w:t>Begripsomschrijving</w:t>
      </w:r>
      <w:bookmarkEnd w:id="19"/>
    </w:p>
    <w:p w14:paraId="31888FA8" w14:textId="77777777" w:rsidR="00BD18A3" w:rsidRPr="00685875" w:rsidRDefault="00BD18A3" w:rsidP="00BD18A3">
      <w:pPr>
        <w:pStyle w:val="Lijstalinea"/>
        <w:numPr>
          <w:ilvl w:val="0"/>
          <w:numId w:val="26"/>
        </w:numPr>
        <w:ind w:left="0" w:firstLine="0"/>
        <w:rPr>
          <w:lang w:val="nl-NL"/>
        </w:rPr>
      </w:pPr>
      <w:r w:rsidRPr="00EF308B">
        <w:t xml:space="preserve">Hoewel de vijfde titel van het </w:t>
      </w:r>
      <w:r>
        <w:t xml:space="preserve">oud </w:t>
      </w:r>
      <w:r w:rsidRPr="00EF308B">
        <w:t xml:space="preserve">Burgerlijk Wetboek </w:t>
      </w:r>
      <w:r>
        <w:t>vijfentachtig</w:t>
      </w:r>
      <w:r w:rsidRPr="00EF308B">
        <w:t xml:space="preserve"> artikelen</w:t>
      </w:r>
      <w:r>
        <w:t xml:space="preserve"> wijdt aan</w:t>
      </w:r>
      <w:r w:rsidRPr="00EF308B">
        <w:t xml:space="preserve"> het huwelijk, </w:t>
      </w:r>
      <w:r>
        <w:t>heeft de wetgever weliswaar nagelaten in een definitie van het huwelijk te voorzien</w:t>
      </w:r>
      <w:r w:rsidRPr="00EF308B">
        <w:t>.</w:t>
      </w:r>
      <w:r>
        <w:t xml:space="preserve"> Dit in tegenstelling tot de doctrine dat het huwelijk omschrijft als een </w:t>
      </w:r>
      <w:r>
        <w:rPr>
          <w:lang w:val="nl-NL"/>
        </w:rPr>
        <w:t>bestendige</w:t>
      </w:r>
      <w:r w:rsidRPr="00685875">
        <w:rPr>
          <w:lang w:val="nl-NL"/>
        </w:rPr>
        <w:t xml:space="preserve"> levensgemeenschap tussen twee natuurlijke personen, </w:t>
      </w:r>
      <w:r>
        <w:rPr>
          <w:lang w:val="nl-NL"/>
        </w:rPr>
        <w:t>waartoe wordt toegetreden op basis van een vormelijk contract</w:t>
      </w:r>
      <w:r w:rsidRPr="00685875">
        <w:rPr>
          <w:lang w:val="nl-NL"/>
        </w:rPr>
        <w:t>, dat als instituut wordt aangegaan.</w:t>
      </w:r>
      <w:r>
        <w:rPr>
          <w:lang w:val="nl-NL"/>
        </w:rPr>
        <w:t xml:space="preserve"> </w:t>
      </w:r>
      <w:r w:rsidRPr="00685875">
        <w:rPr>
          <w:lang w:val="nl-NL"/>
        </w:rPr>
        <w:t>Het instituut houdt in dat de uitvoering van de huwelijkse rechten en plichten niet volgens het algemene contractenrecht, maar volgens eigen regels verloopt.</w:t>
      </w:r>
      <w:r>
        <w:rPr>
          <w:rStyle w:val="Voetnootmarkering"/>
          <w:lang w:val="nl-NL"/>
        </w:rPr>
        <w:footnoteReference w:id="12"/>
      </w:r>
      <w:r w:rsidRPr="00685875">
        <w:rPr>
          <w:lang w:val="nl-NL"/>
        </w:rPr>
        <w:t xml:space="preserve"> Binnen het huwelijk speelt de getrouwheidsverplichting die inhoudt dat er tussen echtgenoten seksualiteit dient te spelen.</w:t>
      </w:r>
      <w:r>
        <w:rPr>
          <w:rStyle w:val="Voetnootmarkering"/>
          <w:lang w:val="nl-NL"/>
        </w:rPr>
        <w:footnoteReference w:id="13"/>
      </w:r>
      <w:r w:rsidRPr="00685875">
        <w:rPr>
          <w:lang w:val="nl-NL"/>
        </w:rPr>
        <w:t xml:space="preserve"> Het huwelijk regelt zowel de persoonlijke als de vermogensrechtelijke solidariteit tussen partners.</w:t>
      </w:r>
      <w:r w:rsidRPr="00A3131B">
        <w:rPr>
          <w:rStyle w:val="Voetnootmarkering"/>
          <w:lang w:val="nl-NL"/>
        </w:rPr>
        <w:footnoteReference w:id="14"/>
      </w:r>
      <w:r w:rsidRPr="00685875">
        <w:rPr>
          <w:lang w:val="nl-NL"/>
        </w:rPr>
        <w:t xml:space="preserve"> </w:t>
      </w:r>
    </w:p>
    <w:p w14:paraId="5EFBF96B" w14:textId="77777777" w:rsidR="00BD18A3" w:rsidRPr="00BF10AA" w:rsidRDefault="00BD18A3" w:rsidP="00BD18A3">
      <w:pPr>
        <w:pStyle w:val="Kop3"/>
        <w:numPr>
          <w:ilvl w:val="0"/>
          <w:numId w:val="2"/>
        </w:numPr>
        <w:ind w:left="426"/>
        <w:rPr>
          <w:lang w:val="nl-NL"/>
        </w:rPr>
      </w:pPr>
      <w:r>
        <w:rPr>
          <w:lang w:val="nl-NL"/>
        </w:rPr>
        <w:t xml:space="preserve"> </w:t>
      </w:r>
      <w:bookmarkStart w:id="20" w:name="_Toc167990443"/>
      <w:r>
        <w:rPr>
          <w:lang w:val="nl-NL"/>
        </w:rPr>
        <w:t>Primair en secundair huwelijksrecht</w:t>
      </w:r>
      <w:bookmarkEnd w:id="20"/>
    </w:p>
    <w:p w14:paraId="039C7277" w14:textId="77777777" w:rsidR="00BD18A3" w:rsidRPr="00685875" w:rsidRDefault="00BD18A3" w:rsidP="00BD18A3">
      <w:pPr>
        <w:pStyle w:val="Lijstalinea"/>
        <w:numPr>
          <w:ilvl w:val="0"/>
          <w:numId w:val="26"/>
        </w:numPr>
        <w:ind w:left="0" w:firstLine="0"/>
        <w:rPr>
          <w:lang w:val="nl-NL"/>
        </w:rPr>
      </w:pPr>
      <w:r w:rsidRPr="00685875">
        <w:rPr>
          <w:lang w:val="nl-NL"/>
        </w:rPr>
        <w:t xml:space="preserve">Binnen het huwelijksrecht dient er een diversifiëring gemaakt te worden tussen het primair huwelijksstelsel en het secundair huwelijksstelsel. Deze artificiële opsplitsing kan louter worden gezien als een erfenis uit het verleden. De </w:t>
      </w:r>
      <w:r w:rsidRPr="00685875">
        <w:rPr>
          <w:i/>
          <w:iCs/>
          <w:lang w:val="nl-NL"/>
        </w:rPr>
        <w:t>Code Napoléon</w:t>
      </w:r>
      <w:r w:rsidRPr="00685875">
        <w:rPr>
          <w:lang w:val="nl-NL"/>
        </w:rPr>
        <w:t xml:space="preserve"> maakte immers dit onderscheid, dewelke we in ons hedendaags Burgerlijk Wetboek nog steeds meedragen. Een inhoudelijke eenheid tussen beide regelingen lijkt namelijk meer vanzelfsprekend.</w:t>
      </w:r>
      <w:r>
        <w:rPr>
          <w:rStyle w:val="Voetnootmarkering"/>
          <w:lang w:val="nl-NL"/>
        </w:rPr>
        <w:footnoteReference w:id="15"/>
      </w:r>
      <w:r w:rsidRPr="00685875">
        <w:rPr>
          <w:lang w:val="nl-NL"/>
        </w:rPr>
        <w:t xml:space="preserve"> </w:t>
      </w:r>
    </w:p>
    <w:p w14:paraId="23DFE49F" w14:textId="77777777" w:rsidR="00BD18A3" w:rsidRDefault="00BD18A3" w:rsidP="00BD18A3">
      <w:pPr>
        <w:rPr>
          <w:lang w:val="nl-NL"/>
        </w:rPr>
      </w:pPr>
    </w:p>
    <w:p w14:paraId="5F5273BD" w14:textId="77777777" w:rsidR="00BD18A3" w:rsidRPr="00685875" w:rsidRDefault="00BD18A3" w:rsidP="00BD18A3">
      <w:pPr>
        <w:pStyle w:val="Lijstalinea"/>
        <w:numPr>
          <w:ilvl w:val="0"/>
          <w:numId w:val="26"/>
        </w:numPr>
        <w:ind w:left="0" w:firstLine="0"/>
        <w:rPr>
          <w:lang w:val="nl-NL"/>
        </w:rPr>
      </w:pPr>
      <w:r w:rsidRPr="00685875">
        <w:rPr>
          <w:lang w:val="nl-NL"/>
        </w:rPr>
        <w:t>Het primair huwelijksstelsel behept het geheel van rechtsregels dat dwingend van toepassing is vanaf het huwelijk voltrokken is, zonder dat hierop bij wijze van overeenkomst afwijkingen op kunnen worden toegekend. Het bevat de rechten en plichten die onlosmakelijk met het huwelijk verbonden zijn.</w:t>
      </w:r>
      <w:r>
        <w:rPr>
          <w:rStyle w:val="Voetnootmarkering"/>
          <w:lang w:val="nl-NL"/>
        </w:rPr>
        <w:footnoteReference w:id="16"/>
      </w:r>
      <w:r w:rsidRPr="00685875">
        <w:rPr>
          <w:lang w:val="nl-NL"/>
        </w:rPr>
        <w:t xml:space="preserve"> </w:t>
      </w:r>
    </w:p>
    <w:p w14:paraId="792EFA8A" w14:textId="77777777" w:rsidR="00BD18A3" w:rsidRDefault="00BD18A3" w:rsidP="00BD18A3">
      <w:pPr>
        <w:rPr>
          <w:lang w:val="nl-NL"/>
        </w:rPr>
      </w:pPr>
    </w:p>
    <w:p w14:paraId="1A4E7B05" w14:textId="77777777" w:rsidR="00BD18A3" w:rsidRPr="00685875" w:rsidRDefault="00BD18A3" w:rsidP="00BD18A3">
      <w:pPr>
        <w:pStyle w:val="Lijstalinea"/>
        <w:numPr>
          <w:ilvl w:val="0"/>
          <w:numId w:val="26"/>
        </w:numPr>
        <w:ind w:left="0" w:firstLine="0"/>
        <w:rPr>
          <w:lang w:val="nl-NL"/>
        </w:rPr>
      </w:pPr>
      <w:r w:rsidRPr="00685875">
        <w:rPr>
          <w:lang w:val="nl-NL"/>
        </w:rPr>
        <w:t xml:space="preserve">Het secundair huwelijksrecht of huwelijksvermogensrecht omvat een ruimere vermogensrechtelijke regeling voor het huwelijk. Van het secundair huwelijksstelsel kan er wel worden afgeweken bij wijze van huwelijksovereenkomst (voorheen: huwelijkscontract). Indien de echtgenoten vooraf geen huwelijksstelsel hebben gekozen, heeft het wettelijk stelsel uitwerking vanaf de voltrekking van het huwelijk. Het wettelijk stelsel geldt dus als gemeen recht waarvan kan worden afgeweken. Het gaat dus om een </w:t>
      </w:r>
      <w:r w:rsidRPr="00685875">
        <w:rPr>
          <w:i/>
          <w:iCs/>
          <w:lang w:val="nl-NL"/>
        </w:rPr>
        <w:t>default</w:t>
      </w:r>
      <w:r w:rsidRPr="00685875">
        <w:rPr>
          <w:lang w:val="nl-NL"/>
        </w:rPr>
        <w:t xml:space="preserve">-regime, dat in werking treedt als de echtgenoten zelf niets anders </w:t>
      </w:r>
      <w:r>
        <w:rPr>
          <w:lang w:val="nl-NL"/>
        </w:rPr>
        <w:t>bedingen</w:t>
      </w:r>
      <w:r w:rsidRPr="00685875">
        <w:rPr>
          <w:lang w:val="nl-NL"/>
        </w:rPr>
        <w:t xml:space="preserve"> op vermogensrechtelijk vlak.</w:t>
      </w:r>
      <w:r w:rsidRPr="00A3131B">
        <w:rPr>
          <w:rStyle w:val="Voetnootmarkering"/>
          <w:lang w:val="nl-NL"/>
        </w:rPr>
        <w:footnoteReference w:id="17"/>
      </w:r>
      <w:r w:rsidRPr="00685875">
        <w:rPr>
          <w:lang w:val="nl-NL"/>
        </w:rPr>
        <w:t xml:space="preserve"> </w:t>
      </w:r>
    </w:p>
    <w:p w14:paraId="4FD21E18" w14:textId="77777777" w:rsidR="00BD18A3" w:rsidRPr="001F4C4C" w:rsidRDefault="00BD18A3" w:rsidP="00BD18A3">
      <w:pPr>
        <w:pStyle w:val="Kop3"/>
        <w:numPr>
          <w:ilvl w:val="0"/>
          <w:numId w:val="2"/>
        </w:numPr>
        <w:ind w:left="426"/>
        <w:rPr>
          <w:lang w:val="nl-NL"/>
        </w:rPr>
      </w:pPr>
      <w:r w:rsidRPr="009D6231">
        <w:rPr>
          <w:lang w:val="nl-NL"/>
        </w:rPr>
        <w:t xml:space="preserve"> </w:t>
      </w:r>
      <w:bookmarkStart w:id="21" w:name="_Toc167990444"/>
      <w:r>
        <w:rPr>
          <w:lang w:val="nl-NL"/>
        </w:rPr>
        <w:t>D</w:t>
      </w:r>
      <w:r w:rsidRPr="009D6231">
        <w:rPr>
          <w:lang w:val="nl-NL"/>
        </w:rPr>
        <w:t>uur</w:t>
      </w:r>
      <w:bookmarkEnd w:id="21"/>
    </w:p>
    <w:p w14:paraId="4AD97029" w14:textId="77777777" w:rsidR="00BD18A3" w:rsidRDefault="00BD18A3" w:rsidP="00BD18A3">
      <w:pPr>
        <w:pStyle w:val="Lijstalinea"/>
        <w:numPr>
          <w:ilvl w:val="0"/>
          <w:numId w:val="26"/>
        </w:numPr>
        <w:ind w:left="0" w:firstLine="0"/>
      </w:pPr>
      <w:r>
        <w:t>Het instituut van het huwelijk is al zo oud als de straat. Doorheen de tijd heeft het dan ook een evolutie doorgemaakt. Zo vertoonde het</w:t>
      </w:r>
      <w:r w:rsidRPr="00F9534A">
        <w:t xml:space="preserve"> Germaanse en laatmiddeleeuwse huwelijksinstituut</w:t>
      </w:r>
      <w:r>
        <w:t xml:space="preserve"> </w:t>
      </w:r>
      <w:r w:rsidRPr="00F9534A">
        <w:t xml:space="preserve">duidelijk een uitgesproken familiaal karakter. Hierbij lag de primaire nadruk op het behoud en de expansie van het familiaal patrimonium, alsmede op het voortbrengen van nakomelingen. In een tijdperk waarin een centrale staat ontbrak, berustte de economische welvaart grotendeels op de uitgebreide familie. Het huwelijk fungeerde niet </w:t>
      </w:r>
      <w:r>
        <w:t>zozeer</w:t>
      </w:r>
      <w:r w:rsidRPr="00F9534A">
        <w:t xml:space="preserve"> als een contract tussen de betrokken echtgenoten, maar eerder als een</w:t>
      </w:r>
      <w:r>
        <w:t xml:space="preserve"> overeenkomst tussen de families</w:t>
      </w:r>
      <w:r w:rsidRPr="00F9534A">
        <w:t xml:space="preserve"> van de bruidegom en de bruid. Het huwelijk kon enkel voltrokken worden tussen een man en een vrouw. Hoewel de instemming van de huwelijkspartners gewaardeerd werd, was deze niet strikt juridisch vereist. Het huwelijk werd beschouwd als een juridische overeenkomst tussen twee families, waarbij de belangen van beide partijen werden behartigd, met een centrale focus op het behoud van het familiaal erfgoed en de voortplanting van wettige erfgenamen.</w:t>
      </w:r>
      <w:r>
        <w:t xml:space="preserve"> Het Germaanse en laatmiddeleeuwse huwelijk was sterk canoniekrechtelijk geïnspireerd. </w:t>
      </w:r>
      <w:r w:rsidRPr="00F9534A">
        <w:t>Volgens de Kerk was de vereniging van twee individuen die uit liefde voor elkaar kozen</w:t>
      </w:r>
      <w:r>
        <w:t xml:space="preserve"> namelijk</w:t>
      </w:r>
      <w:r w:rsidRPr="00F9534A">
        <w:t xml:space="preserve"> de meest geschikte waarborg voor het realiseren van een monogaam en seksueel gedisciplineerd huwelijk</w:t>
      </w:r>
      <w:r>
        <w:t>. Omwille dat het gezin als hoeksteen van de maatschappij fungeert, dat gebaat is met een zeker mate van stabiliteit, dient het huwelijk te worden voltrokken voor onbepaalde duur.</w:t>
      </w:r>
      <w:r>
        <w:rPr>
          <w:rStyle w:val="Voetnootmarkering"/>
        </w:rPr>
        <w:footnoteReference w:id="18"/>
      </w:r>
    </w:p>
    <w:p w14:paraId="12B0AEE3" w14:textId="77777777" w:rsidR="00BD18A3" w:rsidRDefault="00BD18A3" w:rsidP="00BD18A3"/>
    <w:p w14:paraId="1F31F3B6" w14:textId="77777777" w:rsidR="00BD18A3" w:rsidRDefault="00BD18A3" w:rsidP="00BD18A3">
      <w:r w:rsidRPr="004C69C0">
        <w:t xml:space="preserve">De Franse revolutionairen kozen in 1791 voor een burgerlijk huwelijk dat losstond van het canonieke huwelijk. </w:t>
      </w:r>
      <w:r>
        <w:t>De toenmalige g</w:t>
      </w:r>
      <w:r w:rsidRPr="004C69C0">
        <w:t>rondwet bepaalde dat het huwelijk als een civiel contract werd beschouwd</w:t>
      </w:r>
      <w:r>
        <w:t xml:space="preserve">. </w:t>
      </w:r>
      <w:r w:rsidRPr="004C69C0">
        <w:t xml:space="preserve">Ze introduceerden de vereiste van familiale toestemming voor </w:t>
      </w:r>
      <w:r w:rsidRPr="004C69C0">
        <w:lastRenderedPageBreak/>
        <w:t>minderjarigen (jonger dan 21 jaar), schaften kerkelijke beletselen af en eisten dat de huwelijkssluiting plaatsvond voor een burgerlijke ambtenaar. De staat verleende geen burgerlijke gevolgen meer aan het canonieke huwelijk, maar behield het naast het burgerlijke huwelijk voor gelovigen. De wetgever bepaalde dat het burgerlijke huwelijk vóór het canonieke huwelijk moest plaatsvinden. De definitie van het huwelijk werd niet wettelijk vastgesteld, maar het werd opgevat als een natuurrechtelijke instelling door een plechtige, burgerlijke overeenkomst tussen één man en één vrouw. Het doel kon zijn om kinderen voort te brengen en op te voeden, maar dit was niet noodzakelijk.</w:t>
      </w:r>
      <w:r>
        <w:t xml:space="preserve"> Desondanks de Franse revolutionairen zich afzetten tegen het canoniek huwelijk bleef, in lijn van het Romeinse recht, de traditionele christelijke visie en het gewoonterecht, het patriarchale denken domineren. Het overwicht van de man binnen het huwelijk kwam tot uiting in de maritale macht, die nagenoeg onbegrensd was. Ook de kerkelijke invloed omtrent het karakter van onbepaalde duur van het huwelijk valt niet te miskennen.</w:t>
      </w:r>
      <w:r>
        <w:rPr>
          <w:rStyle w:val="Voetnootmarkering"/>
        </w:rPr>
        <w:footnoteReference w:id="19"/>
      </w:r>
    </w:p>
    <w:p w14:paraId="5A5F5E43" w14:textId="77777777" w:rsidR="00BD18A3" w:rsidRPr="000E0698" w:rsidRDefault="00BD18A3" w:rsidP="00BD18A3">
      <w:pPr>
        <w:rPr>
          <w:i/>
          <w:iCs/>
        </w:rPr>
      </w:pPr>
    </w:p>
    <w:p w14:paraId="17B025AE" w14:textId="77777777" w:rsidR="00BD18A3" w:rsidRDefault="00BD18A3" w:rsidP="00BD18A3">
      <w:r w:rsidRPr="004C69C0">
        <w:t>De patriarchale opvatting bleef</w:t>
      </w:r>
      <w:r>
        <w:t xml:space="preserve"> het gedachtengoed rond het huwelijk domineren</w:t>
      </w:r>
      <w:r w:rsidRPr="004C69C0">
        <w:t xml:space="preserve"> tot de emancipatie van vrouwen in de 20e eeuw. Het huwelijk evolueerde toen naar een losse vereniging, inclusief gelijke rechten voor gehuwde vrouwen. H</w:t>
      </w:r>
      <w:r>
        <w:t>et aantal echtscheidingen steeg</w:t>
      </w:r>
      <w:r w:rsidRPr="004C69C0">
        <w:t xml:space="preserve"> en het huwelijk onderging verdere veranderingen, zoals de legalisatie van het huwelijk tussen personen van hetzelfde </w:t>
      </w:r>
      <w:r w:rsidRPr="00DE2E5D">
        <w:t>geslacht in 2003.</w:t>
      </w:r>
      <w:r>
        <w:rPr>
          <w:rStyle w:val="Voetnootmarkering"/>
        </w:rPr>
        <w:footnoteReference w:id="20"/>
      </w:r>
      <w:r w:rsidRPr="004C69C0">
        <w:t xml:space="preserve"> Ondanks de nadruk op het huwelijk als basis voor de maatschappelijke organisatie, verkeert de instelling in een crisis, met een toenemend aantal echtscheidingen en een groeiend aantal eenoudergezinnen.</w:t>
      </w:r>
      <w:r>
        <w:rPr>
          <w:rStyle w:val="Voetnootmarkering"/>
        </w:rPr>
        <w:footnoteReference w:id="21"/>
      </w:r>
      <w:r>
        <w:t xml:space="preserve"> </w:t>
      </w:r>
    </w:p>
    <w:p w14:paraId="5BA248EB" w14:textId="77777777" w:rsidR="00BD18A3" w:rsidRDefault="00BD18A3" w:rsidP="00BD18A3"/>
    <w:p w14:paraId="7BD44EDC" w14:textId="77777777" w:rsidR="00BD18A3" w:rsidRPr="00DE2E5D" w:rsidRDefault="00BD18A3" w:rsidP="00BD18A3">
      <w:pPr>
        <w:pStyle w:val="Lijstalinea"/>
        <w:numPr>
          <w:ilvl w:val="0"/>
          <w:numId w:val="26"/>
        </w:numPr>
        <w:ind w:left="0" w:firstLine="0"/>
      </w:pPr>
      <w:r w:rsidRPr="00685875">
        <w:rPr>
          <w:lang w:val="nl-NL"/>
        </w:rPr>
        <w:t>De historische wortels van het verleden zitten nog steeds diep verankerd in het rechtsbestel van het heden. Binnen het vigerend recht heeft het huwelijk ook een karakter van onbepaalde duur. Het karakter van onbepaalde duur van het huwelijk zit vervat in artikel 227 oud BW, aangezien de ontbinding door echtscheiding slechts mogelijk is in de gevallen bij wet bepaald. Overeenkomstig dit artikel kunnen er slechts twee gronden zijn voor de ontbinding van het huwelijk, waarvan</w:t>
      </w:r>
      <w:r>
        <w:rPr>
          <w:lang w:val="nl-NL"/>
        </w:rPr>
        <w:t xml:space="preserve"> </w:t>
      </w:r>
      <w:r w:rsidRPr="00685875">
        <w:rPr>
          <w:lang w:val="nl-NL"/>
        </w:rPr>
        <w:t xml:space="preserve">de </w:t>
      </w:r>
      <w:r>
        <w:rPr>
          <w:lang w:val="nl-NL"/>
        </w:rPr>
        <w:t>“</w:t>
      </w:r>
      <w:r w:rsidRPr="00685875">
        <w:rPr>
          <w:lang w:val="nl-NL"/>
        </w:rPr>
        <w:t>uitwerking van de uitdovende tijdsbepaling” er geen van is. Enerzijds is het overlijden of de verklaring van afwezigheid</w:t>
      </w:r>
      <w:r>
        <w:rPr>
          <w:rStyle w:val="Voetnootmarkering"/>
          <w:lang w:val="nl-NL"/>
        </w:rPr>
        <w:footnoteReference w:id="22"/>
      </w:r>
      <w:r w:rsidRPr="00685875">
        <w:rPr>
          <w:lang w:val="nl-NL"/>
        </w:rPr>
        <w:t xml:space="preserve"> van één van de echtgenoten een oorzaak van de ontbinding van het huwelijk. Anderzijds kan het huwelijk worden ontbonden door echtscheiding.</w:t>
      </w:r>
      <w:r>
        <w:rPr>
          <w:rStyle w:val="Voetnootmarkering"/>
          <w:lang w:val="nl-NL"/>
        </w:rPr>
        <w:footnoteReference w:id="23"/>
      </w:r>
      <w:r w:rsidRPr="00685875">
        <w:rPr>
          <w:lang w:val="nl-NL"/>
        </w:rPr>
        <w:t xml:space="preserve"> De wetgever laat de koppeling van een uitdovende tijdsbepaling aan het huwelijk en de wettelijke samenwoning vandaag </w:t>
      </w:r>
      <w:r w:rsidRPr="00685875">
        <w:rPr>
          <w:lang w:val="nl-NL"/>
        </w:rPr>
        <w:lastRenderedPageBreak/>
        <w:t xml:space="preserve">niet toe. </w:t>
      </w:r>
      <w:r>
        <w:t>Is het ontdoen van het karakter van onbepaalde duur van het huwelijk een volgende stap in de decanonicering van het huwelijk?</w:t>
      </w:r>
    </w:p>
    <w:p w14:paraId="1AE258EB" w14:textId="77777777" w:rsidR="00BD18A3" w:rsidRDefault="00BD18A3" w:rsidP="00BD18A3">
      <w:pPr>
        <w:pStyle w:val="Kop2"/>
        <w:rPr>
          <w:lang w:val="nl-NL"/>
        </w:rPr>
      </w:pPr>
      <w:bookmarkStart w:id="22" w:name="_Toc167990445"/>
      <w:r>
        <w:rPr>
          <w:lang w:val="nl-NL"/>
        </w:rPr>
        <w:t>Hoofdstuk 2. Wettelijke samenwoning</w:t>
      </w:r>
      <w:bookmarkEnd w:id="22"/>
    </w:p>
    <w:p w14:paraId="7879E0BF" w14:textId="77777777" w:rsidR="00BD18A3" w:rsidRPr="00333903" w:rsidRDefault="00BD18A3" w:rsidP="00BD18A3">
      <w:pPr>
        <w:pStyle w:val="Kop3"/>
        <w:numPr>
          <w:ilvl w:val="0"/>
          <w:numId w:val="3"/>
        </w:numPr>
        <w:ind w:left="426"/>
        <w:rPr>
          <w:lang w:val="nl-NL"/>
        </w:rPr>
      </w:pPr>
      <w:r>
        <w:rPr>
          <w:lang w:val="nl-NL"/>
        </w:rPr>
        <w:t xml:space="preserve"> </w:t>
      </w:r>
      <w:bookmarkStart w:id="23" w:name="_Toc167990446"/>
      <w:r>
        <w:rPr>
          <w:lang w:val="nl-NL"/>
        </w:rPr>
        <w:t>Begripsomschrijving</w:t>
      </w:r>
      <w:bookmarkEnd w:id="23"/>
    </w:p>
    <w:p w14:paraId="76AFF41F" w14:textId="77777777" w:rsidR="00BD18A3" w:rsidRPr="00685875" w:rsidRDefault="00BD18A3" w:rsidP="00BD18A3">
      <w:pPr>
        <w:pStyle w:val="Lijstalinea"/>
        <w:numPr>
          <w:ilvl w:val="0"/>
          <w:numId w:val="26"/>
        </w:numPr>
        <w:ind w:left="0" w:firstLine="0"/>
        <w:rPr>
          <w:lang w:val="nl-NL"/>
        </w:rPr>
      </w:pPr>
      <w:r w:rsidRPr="00685875">
        <w:rPr>
          <w:lang w:val="nl-NL"/>
        </w:rPr>
        <w:t>In tegenstelling tot het huwelijk voorziet de wetgever zelf in een begripsomschrijving voor de wettelijke samenwoning. Overeenkomstig artikel 1475 oud BW wordt de wettelijke samenwoning begrepen als: “</w:t>
      </w:r>
      <w:r w:rsidRPr="00685875">
        <w:rPr>
          <w:i/>
        </w:rPr>
        <w:t>de toestand van samenleven van twee personen die een verklaring hebben afgelegd overeenkomstig artikel 1476</w:t>
      </w:r>
      <w:r>
        <w:t>”.</w:t>
      </w:r>
      <w:r>
        <w:rPr>
          <w:rStyle w:val="Voetnootmarkering"/>
        </w:rPr>
        <w:footnoteReference w:id="24"/>
      </w:r>
      <w:r>
        <w:t xml:space="preserve"> In tegenstelling tot het huwelijk is de wettelijke samenwoning seksneutraal. Dit houdt in dat een intieme (lees: seksuele) relatie niet vereist is. </w:t>
      </w:r>
      <w:r w:rsidRPr="00685875">
        <w:rPr>
          <w:lang w:val="nl-NL"/>
        </w:rPr>
        <w:t>Het statuut van wettelijke samenwoning staat dus open voor nauwe verwanten en vrienden.</w:t>
      </w:r>
      <w:r>
        <w:rPr>
          <w:rStyle w:val="Voetnootmarkering"/>
          <w:lang w:val="nl-NL"/>
        </w:rPr>
        <w:footnoteReference w:id="25"/>
      </w:r>
      <w:r w:rsidRPr="00685875">
        <w:rPr>
          <w:lang w:val="nl-NL"/>
        </w:rPr>
        <w:t xml:space="preserve"> </w:t>
      </w:r>
    </w:p>
    <w:p w14:paraId="57354977" w14:textId="77777777" w:rsidR="00BD18A3" w:rsidRDefault="00BD18A3" w:rsidP="00BD18A3">
      <w:pPr>
        <w:rPr>
          <w:lang w:val="nl-NL"/>
        </w:rPr>
      </w:pPr>
    </w:p>
    <w:p w14:paraId="32502BFA" w14:textId="77777777" w:rsidR="00BD18A3" w:rsidRPr="00AC0F3D" w:rsidRDefault="00BD18A3" w:rsidP="00BD18A3">
      <w:pPr>
        <w:pStyle w:val="Lijstalinea"/>
        <w:numPr>
          <w:ilvl w:val="0"/>
          <w:numId w:val="26"/>
        </w:numPr>
        <w:ind w:left="0" w:firstLine="0"/>
      </w:pPr>
      <w:r>
        <w:t xml:space="preserve">Overeenkomstig de doctrine is de </w:t>
      </w:r>
      <w:r w:rsidRPr="00685875">
        <w:rPr>
          <w:lang w:val="nl-NL"/>
        </w:rPr>
        <w:t>wettelijke samenwoning tevens een rechtstoestand aangegaan als instituut. Dit instituut kent een minder wettelijke omkadering en geniet bijgevolg van een contractuele vrijheid die beduidend groter is dan binnen het huwelijk.</w:t>
      </w:r>
      <w:r>
        <w:rPr>
          <w:rStyle w:val="Voetnootmarkering"/>
          <w:lang w:val="nl-NL"/>
        </w:rPr>
        <w:footnoteReference w:id="26"/>
      </w:r>
      <w:r w:rsidRPr="00685875">
        <w:rPr>
          <w:lang w:val="nl-NL"/>
        </w:rPr>
        <w:t xml:space="preserve"> De wettelijke samenwoning wordt aangegaan tussen twee personen die een verklaring van wettelijke samenwoning hebben afgelegd </w:t>
      </w:r>
      <w:r>
        <w:t>door de overhandiging van het geschrift aan de ambtenaar van de burgerlijke stand van de gemeenschappelijke woonplaats.</w:t>
      </w:r>
      <w:r>
        <w:rPr>
          <w:rStyle w:val="Voetnootmarkering"/>
        </w:rPr>
        <w:footnoteReference w:id="27"/>
      </w:r>
      <w:r w:rsidRPr="00685875">
        <w:rPr>
          <w:lang w:val="nl-NL"/>
        </w:rPr>
        <w:t xml:space="preserve"> Enkel is deze rechtstoestand hoofdzakelijk gericht op het construeren van een vermogensrechtelijke levensgemeenschap dat louter de functie van een pragmatische regeling van vermogensrechtelijke en geldelijke kwesties vervult.</w:t>
      </w:r>
      <w:r w:rsidRPr="00A3131B">
        <w:rPr>
          <w:rStyle w:val="Voetnootmarkering"/>
          <w:lang w:val="nl-NL"/>
        </w:rPr>
        <w:footnoteReference w:id="28"/>
      </w:r>
      <w:r w:rsidRPr="00685875">
        <w:rPr>
          <w:lang w:val="nl-NL"/>
        </w:rPr>
        <w:t xml:space="preserve"> De wetgever beoogde dan ook bij het introduceren van de wettelijke samenwoning dat er voor de betrokkenen géén nieuwe staat in het leven werd geroepen.</w:t>
      </w:r>
      <w:r>
        <w:rPr>
          <w:rStyle w:val="Voetnootmarkering"/>
          <w:lang w:val="nl-NL"/>
        </w:rPr>
        <w:footnoteReference w:id="29"/>
      </w:r>
      <w:r w:rsidRPr="00685875">
        <w:rPr>
          <w:lang w:val="nl-NL"/>
        </w:rPr>
        <w:t xml:space="preserve"> Cassatie stemde in met deze visie en heeft uitdrukkelijk ontkend dat de wettelijke samenwoning tot de staat van de persoon zou behoren.</w:t>
      </w:r>
      <w:r w:rsidRPr="00A3131B">
        <w:rPr>
          <w:rStyle w:val="Voetnootmarkering"/>
          <w:lang w:val="nl-NL"/>
        </w:rPr>
        <w:footnoteReference w:id="30"/>
      </w:r>
      <w:r w:rsidRPr="00685875">
        <w:rPr>
          <w:lang w:val="nl-NL"/>
        </w:rPr>
        <w:t xml:space="preserve"> Hierbij dient de kanttekening gemaakt te worden dat het arrest betrekking had op een wettelijke samenwoning </w:t>
      </w:r>
      <w:r w:rsidRPr="00685875">
        <w:rPr>
          <w:i/>
          <w:iCs/>
          <w:lang w:val="nl-NL"/>
        </w:rPr>
        <w:t xml:space="preserve">anno </w:t>
      </w:r>
      <w:r w:rsidRPr="00685875">
        <w:rPr>
          <w:lang w:val="nl-NL"/>
        </w:rPr>
        <w:t>2000.</w:t>
      </w:r>
      <w:r>
        <w:rPr>
          <w:rStyle w:val="Voetnootmarkering"/>
          <w:lang w:val="nl-NL"/>
        </w:rPr>
        <w:footnoteReference w:id="31"/>
      </w:r>
      <w:r w:rsidRPr="00685875">
        <w:rPr>
          <w:lang w:val="nl-NL"/>
        </w:rPr>
        <w:t xml:space="preserve"> Een recenter arrest stelde echter dat de </w:t>
      </w:r>
      <w:r>
        <w:lastRenderedPageBreak/>
        <w:t>wettelijke samenwoning op abstracte wijze de interne en externe rechtspositie van de wettelijk samenwonenden bepaalt en zodoende hun staat.</w:t>
      </w:r>
      <w:r>
        <w:rPr>
          <w:rStyle w:val="Voetnootmarkering"/>
        </w:rPr>
        <w:footnoteReference w:id="32"/>
      </w:r>
      <w:r>
        <w:t xml:space="preserve"> Dit werd ook in latere arresten bevestigd.</w:t>
      </w:r>
      <w:r>
        <w:rPr>
          <w:rStyle w:val="Voetnootmarkering"/>
        </w:rPr>
        <w:footnoteReference w:id="33"/>
      </w:r>
      <w:r>
        <w:t xml:space="preserve"> Er kan dus worden geconcludeerd dat de wettelijke samenwoning (op zijn minst vandaag de dag) behoort tot de staat van de persoon.</w:t>
      </w:r>
      <w:r>
        <w:rPr>
          <w:rStyle w:val="Voetnootmarkering"/>
        </w:rPr>
        <w:footnoteReference w:id="34"/>
      </w:r>
    </w:p>
    <w:p w14:paraId="48B3F62E" w14:textId="77777777" w:rsidR="00BD18A3" w:rsidRDefault="00BD18A3" w:rsidP="00BD18A3">
      <w:pPr>
        <w:pStyle w:val="Kop3"/>
        <w:numPr>
          <w:ilvl w:val="0"/>
          <w:numId w:val="3"/>
        </w:numPr>
        <w:ind w:left="426"/>
      </w:pPr>
      <w:bookmarkStart w:id="24" w:name="_Toc167990447"/>
      <w:r>
        <w:t>Primair en secundair samenwoningsrecht</w:t>
      </w:r>
      <w:bookmarkEnd w:id="24"/>
    </w:p>
    <w:p w14:paraId="3AF80CD1" w14:textId="77777777" w:rsidR="00BD18A3" w:rsidRDefault="00BD18A3" w:rsidP="00BD18A3">
      <w:pPr>
        <w:pStyle w:val="Lijstalinea"/>
        <w:numPr>
          <w:ilvl w:val="0"/>
          <w:numId w:val="26"/>
        </w:numPr>
        <w:ind w:left="0" w:firstLine="0"/>
        <w:rPr>
          <w:lang w:val="nl-NL"/>
        </w:rPr>
      </w:pPr>
      <w:r w:rsidRPr="00685875">
        <w:rPr>
          <w:lang w:val="nl-NL"/>
        </w:rPr>
        <w:t xml:space="preserve">Naar analogie met het primair en secundair huwelijksrecht is ook het </w:t>
      </w:r>
      <w:proofErr w:type="spellStart"/>
      <w:r w:rsidRPr="00685875">
        <w:rPr>
          <w:lang w:val="nl-NL"/>
        </w:rPr>
        <w:t>samenwoningsrecht</w:t>
      </w:r>
      <w:proofErr w:type="spellEnd"/>
      <w:r w:rsidRPr="00685875">
        <w:rPr>
          <w:lang w:val="nl-NL"/>
        </w:rPr>
        <w:t xml:space="preserve"> opgebouwd. Zo bestaat er voor de wettelijke samenwoning ook het primair wettelijk </w:t>
      </w:r>
      <w:proofErr w:type="spellStart"/>
      <w:r w:rsidRPr="00685875">
        <w:rPr>
          <w:lang w:val="nl-NL"/>
        </w:rPr>
        <w:t>samenwoningsrecht</w:t>
      </w:r>
      <w:proofErr w:type="spellEnd"/>
      <w:r w:rsidRPr="00685875">
        <w:rPr>
          <w:lang w:val="nl-NL"/>
        </w:rPr>
        <w:t xml:space="preserve"> en het secundair wettelijk </w:t>
      </w:r>
      <w:proofErr w:type="spellStart"/>
      <w:r w:rsidRPr="00685875">
        <w:rPr>
          <w:lang w:val="nl-NL"/>
        </w:rPr>
        <w:t>samenwonings</w:t>
      </w:r>
      <w:proofErr w:type="spellEnd"/>
      <w:r w:rsidRPr="00685875">
        <w:rPr>
          <w:lang w:val="nl-NL"/>
        </w:rPr>
        <w:t xml:space="preserve">(vermogens)recht. </w:t>
      </w:r>
    </w:p>
    <w:p w14:paraId="59107A0D" w14:textId="77777777" w:rsidR="00BD18A3" w:rsidRDefault="00BD18A3" w:rsidP="00BD18A3">
      <w:pPr>
        <w:pStyle w:val="Lijstalinea"/>
        <w:rPr>
          <w:lang w:val="nl-NL"/>
        </w:rPr>
      </w:pPr>
    </w:p>
    <w:p w14:paraId="6827338A" w14:textId="77777777" w:rsidR="00BD18A3" w:rsidRPr="00685875" w:rsidRDefault="00BD18A3" w:rsidP="00BD18A3">
      <w:pPr>
        <w:pStyle w:val="Lijstalinea"/>
        <w:numPr>
          <w:ilvl w:val="0"/>
          <w:numId w:val="26"/>
        </w:numPr>
        <w:ind w:left="0" w:firstLine="0"/>
        <w:rPr>
          <w:lang w:val="nl-NL"/>
        </w:rPr>
      </w:pPr>
      <w:r>
        <w:rPr>
          <w:lang w:val="nl-NL"/>
        </w:rPr>
        <w:t xml:space="preserve">Het </w:t>
      </w:r>
      <w:r w:rsidRPr="00685875">
        <w:rPr>
          <w:lang w:val="nl-NL"/>
        </w:rPr>
        <w:t xml:space="preserve">primair wettelijk </w:t>
      </w:r>
      <w:proofErr w:type="spellStart"/>
      <w:r w:rsidRPr="00685875">
        <w:rPr>
          <w:lang w:val="nl-NL"/>
        </w:rPr>
        <w:t>samenwoningsrecht</w:t>
      </w:r>
      <w:proofErr w:type="spellEnd"/>
      <w:r w:rsidRPr="00685875">
        <w:rPr>
          <w:lang w:val="nl-NL"/>
        </w:rPr>
        <w:t xml:space="preserve"> is gevormd aan de hand van drie regels uit het primair huwelijksrecht</w:t>
      </w:r>
      <w:r>
        <w:rPr>
          <w:lang w:val="nl-NL"/>
        </w:rPr>
        <w:t>, die</w:t>
      </w:r>
      <w:r w:rsidRPr="00685875">
        <w:rPr>
          <w:lang w:val="nl-NL"/>
        </w:rPr>
        <w:t xml:space="preserve"> door middel van verwijswetgeving die van toepassing</w:t>
      </w:r>
      <w:r>
        <w:rPr>
          <w:lang w:val="nl-NL"/>
        </w:rPr>
        <w:t xml:space="preserve"> zijn</w:t>
      </w:r>
      <w:r w:rsidRPr="00685875">
        <w:rPr>
          <w:lang w:val="nl-NL"/>
        </w:rPr>
        <w:t xml:space="preserve"> door het enkele feit van de wettelijke samenwoning.</w:t>
      </w:r>
      <w:r>
        <w:rPr>
          <w:rStyle w:val="Voetnootmarkering"/>
          <w:lang w:val="nl-NL"/>
        </w:rPr>
        <w:footnoteReference w:id="35"/>
      </w:r>
      <w:r w:rsidRPr="00685875">
        <w:rPr>
          <w:lang w:val="nl-NL"/>
        </w:rPr>
        <w:t xml:space="preserve"> </w:t>
      </w:r>
    </w:p>
    <w:p w14:paraId="42F127C6" w14:textId="77777777" w:rsidR="00BD18A3" w:rsidRDefault="00BD18A3" w:rsidP="00BD18A3">
      <w:pPr>
        <w:rPr>
          <w:lang w:val="nl-NL"/>
        </w:rPr>
      </w:pPr>
    </w:p>
    <w:p w14:paraId="388FAD53" w14:textId="77777777" w:rsidR="00BD18A3" w:rsidRPr="00E54600" w:rsidRDefault="00BD18A3" w:rsidP="00BD18A3">
      <w:pPr>
        <w:pStyle w:val="Lijstalinea"/>
        <w:numPr>
          <w:ilvl w:val="0"/>
          <w:numId w:val="26"/>
        </w:numPr>
        <w:ind w:left="0" w:firstLine="0"/>
        <w:rPr>
          <w:lang w:val="nl-NL"/>
        </w:rPr>
      </w:pPr>
      <w:r w:rsidRPr="00E54600">
        <w:rPr>
          <w:lang w:val="nl-NL"/>
        </w:rPr>
        <w:t xml:space="preserve">Het secundair </w:t>
      </w:r>
      <w:proofErr w:type="spellStart"/>
      <w:r w:rsidRPr="00E54600">
        <w:rPr>
          <w:lang w:val="nl-NL"/>
        </w:rPr>
        <w:t>samenwonings</w:t>
      </w:r>
      <w:proofErr w:type="spellEnd"/>
      <w:r w:rsidRPr="00E54600">
        <w:rPr>
          <w:lang w:val="nl-NL"/>
        </w:rPr>
        <w:t xml:space="preserve">(vermogens)recht werd niet rechtstreeks overgenomen van het secundair huwelijksvermogensrecht. Voor wettelijk samenwonenden werd namelijk een specifiek secundair </w:t>
      </w:r>
      <w:proofErr w:type="spellStart"/>
      <w:r w:rsidRPr="00E54600">
        <w:rPr>
          <w:lang w:val="nl-NL"/>
        </w:rPr>
        <w:t>samenwonings</w:t>
      </w:r>
      <w:proofErr w:type="spellEnd"/>
      <w:r w:rsidRPr="00E54600">
        <w:rPr>
          <w:lang w:val="nl-NL"/>
        </w:rPr>
        <w:t>(vermogensrecht) tot stand gebracht, weliswaar beknopter dan voor het huwelijk.</w:t>
      </w:r>
      <w:r>
        <w:rPr>
          <w:rStyle w:val="Voetnootmarkering"/>
          <w:lang w:val="nl-NL"/>
        </w:rPr>
        <w:footnoteReference w:id="36"/>
      </w:r>
      <w:r w:rsidRPr="00E54600">
        <w:rPr>
          <w:lang w:val="nl-NL"/>
        </w:rPr>
        <w:t xml:space="preserve"> Voor wettelijk samenwonenden bestaat het secundair </w:t>
      </w:r>
      <w:proofErr w:type="spellStart"/>
      <w:r w:rsidRPr="00E54600">
        <w:rPr>
          <w:lang w:val="nl-NL"/>
        </w:rPr>
        <w:t>samenwonings</w:t>
      </w:r>
      <w:proofErr w:type="spellEnd"/>
      <w:r w:rsidRPr="00E54600">
        <w:rPr>
          <w:lang w:val="nl-NL"/>
        </w:rPr>
        <w:t>(vermogens)recht namelijk uit het stelsel van scheiding van goederen. Dit aangezien de wetgever stelt dat: “</w:t>
      </w:r>
      <w:r w:rsidRPr="00E54600">
        <w:rPr>
          <w:i/>
          <w:iCs/>
        </w:rPr>
        <w:t>Elk van de wettelijk samenwonenden de goederen behoudt waarvan hij de eigendom kan bewijzen, de inkomsten uit deze goederen en de opbrengsten uit arbeid"</w:t>
      </w:r>
      <w:r>
        <w:t>.</w:t>
      </w:r>
      <w:r>
        <w:rPr>
          <w:rStyle w:val="Voetnootmarkering"/>
        </w:rPr>
        <w:footnoteReference w:id="37"/>
      </w:r>
      <w:r>
        <w:t xml:space="preserve"> In tegenstelling tot het huwelijk poogt de wet in deze niet in het voorzien van een evenwicht tussen de wettelijke samenwonenden op vlak van autonomie en solidariteit.</w:t>
      </w:r>
      <w:r>
        <w:rPr>
          <w:rStyle w:val="Voetnootmarkering"/>
        </w:rPr>
        <w:footnoteReference w:id="38"/>
      </w:r>
      <w:r>
        <w:t xml:space="preserve"> </w:t>
      </w:r>
      <w:r w:rsidRPr="00E54600">
        <w:rPr>
          <w:lang w:val="nl-NL"/>
        </w:rPr>
        <w:t xml:space="preserve">Afwijkingen op het secundair </w:t>
      </w:r>
      <w:proofErr w:type="spellStart"/>
      <w:r w:rsidRPr="00E54600">
        <w:rPr>
          <w:lang w:val="nl-NL"/>
        </w:rPr>
        <w:t>samenwonings</w:t>
      </w:r>
      <w:proofErr w:type="spellEnd"/>
      <w:r w:rsidRPr="00E54600">
        <w:rPr>
          <w:lang w:val="nl-NL"/>
        </w:rPr>
        <w:t xml:space="preserve">(vermogens)recht zijn mogelijk bij wijze van een samenlevingsovereenkomst (voorheen: samenlevingscontract). Indien de wettelijk samenwonenden nalaten te voorzien in contractuele afwijkingen op dit stelsel, zal het secundair </w:t>
      </w:r>
      <w:proofErr w:type="spellStart"/>
      <w:r w:rsidRPr="00E54600">
        <w:rPr>
          <w:lang w:val="nl-NL"/>
        </w:rPr>
        <w:t>samenwonings</w:t>
      </w:r>
      <w:proofErr w:type="spellEnd"/>
      <w:r w:rsidRPr="00E54600">
        <w:rPr>
          <w:lang w:val="nl-NL"/>
        </w:rPr>
        <w:t xml:space="preserve">(vermogens)recht </w:t>
      </w:r>
      <w:r w:rsidRPr="00E54600">
        <w:rPr>
          <w:lang w:val="nl-NL"/>
        </w:rPr>
        <w:lastRenderedPageBreak/>
        <w:t xml:space="preserve">van rechtswege uitwerking krijgen. Het secundair </w:t>
      </w:r>
      <w:proofErr w:type="spellStart"/>
      <w:r w:rsidRPr="00E54600">
        <w:rPr>
          <w:lang w:val="nl-NL"/>
        </w:rPr>
        <w:t>samenwonings</w:t>
      </w:r>
      <w:proofErr w:type="spellEnd"/>
      <w:r w:rsidRPr="00E54600">
        <w:rPr>
          <w:lang w:val="nl-NL"/>
        </w:rPr>
        <w:t xml:space="preserve">(vermogens)recht zal dus fungeren als </w:t>
      </w:r>
      <w:r w:rsidRPr="00E54600">
        <w:rPr>
          <w:i/>
          <w:iCs/>
          <w:lang w:val="nl-NL"/>
        </w:rPr>
        <w:t>default-</w:t>
      </w:r>
      <w:r w:rsidRPr="00E54600">
        <w:rPr>
          <w:lang w:val="nl-NL"/>
        </w:rPr>
        <w:t>regime.</w:t>
      </w:r>
      <w:r w:rsidRPr="00A3131B">
        <w:rPr>
          <w:rStyle w:val="Voetnootmarkering"/>
          <w:lang w:val="nl-NL"/>
        </w:rPr>
        <w:footnoteReference w:id="39"/>
      </w:r>
    </w:p>
    <w:p w14:paraId="7AF90D2F" w14:textId="77777777" w:rsidR="00BD18A3" w:rsidRDefault="00BD18A3" w:rsidP="00BD18A3">
      <w:pPr>
        <w:pStyle w:val="Kop3"/>
        <w:numPr>
          <w:ilvl w:val="0"/>
          <w:numId w:val="3"/>
        </w:numPr>
        <w:ind w:left="426" w:hanging="349"/>
        <w:rPr>
          <w:lang w:val="nl-NL"/>
        </w:rPr>
      </w:pPr>
      <w:r>
        <w:rPr>
          <w:lang w:val="nl-NL"/>
        </w:rPr>
        <w:t xml:space="preserve"> </w:t>
      </w:r>
      <w:bookmarkStart w:id="25" w:name="_Toc167990448"/>
      <w:r>
        <w:rPr>
          <w:lang w:val="nl-NL"/>
        </w:rPr>
        <w:t>Duur</w:t>
      </w:r>
      <w:bookmarkEnd w:id="25"/>
    </w:p>
    <w:p w14:paraId="3F7BC194" w14:textId="77777777" w:rsidR="00BD18A3" w:rsidRDefault="00BD18A3" w:rsidP="00BD18A3">
      <w:pPr>
        <w:pStyle w:val="Lijstalinea"/>
        <w:numPr>
          <w:ilvl w:val="0"/>
          <w:numId w:val="26"/>
        </w:numPr>
        <w:ind w:left="0" w:firstLine="0"/>
        <w:rPr>
          <w:lang w:val="nl-NL"/>
        </w:rPr>
      </w:pPr>
      <w:r w:rsidRPr="004A4F38">
        <w:rPr>
          <w:lang w:val="nl-NL"/>
        </w:rPr>
        <w:t>De intrede van de wettelijke samenwoning vond plaats in november 1998.</w:t>
      </w:r>
      <w:r>
        <w:rPr>
          <w:rStyle w:val="Voetnootmarkering"/>
          <w:lang w:val="nl-NL"/>
        </w:rPr>
        <w:footnoteReference w:id="40"/>
      </w:r>
      <w:r w:rsidRPr="004A4F38">
        <w:rPr>
          <w:lang w:val="nl-NL"/>
        </w:rPr>
        <w:t xml:space="preserve"> Dit kwam tot stand door de toevoeging van titel </w:t>
      </w:r>
      <w:proofErr w:type="spellStart"/>
      <w:r w:rsidRPr="004A4F38">
        <w:rPr>
          <w:lang w:val="nl-NL"/>
        </w:rPr>
        <w:t>V</w:t>
      </w:r>
      <w:r w:rsidRPr="004A4F38">
        <w:rPr>
          <w:i/>
          <w:iCs/>
          <w:lang w:val="nl-NL"/>
        </w:rPr>
        <w:t>bis</w:t>
      </w:r>
      <w:proofErr w:type="spellEnd"/>
      <w:r w:rsidRPr="004A4F38">
        <w:rPr>
          <w:lang w:val="nl-NL"/>
        </w:rPr>
        <w:t xml:space="preserve"> in het oud Burgerlijk Wetboek, dat negen artikelen over de wettelijke samenwoning herbergt. Artikel 1476, tweede paragraaf oud BW van deze titel regelt de wijzen waarop de wettelijke samenwoning beëindigd kan worden. De beëindiging van de wettelijke samenwoning geschiedt enerzijds door het overlijden of het in het huwelijk treden van één van de partijen. Anderzijds kan de wettelijke samenwoning een einde nemen door een schriftelijke verklaring, hetzij éénzijdig, hetzij in onderlinge overeenstemming. Deze schriftelijke verklaring dient tegen ontvangstbewijs overhandigd te worden aan de ambtenaar van de burgerlijke stand en moet verplicht een aantal gegevens bevatten, voorgeschreven door de wet. Net zoals bij het huwelijk voorziet dit artikel niet in een wijze van beëindiging op grond van de “uitwerking van de uitdovende tijdsbepaling”. </w:t>
      </w:r>
    </w:p>
    <w:p w14:paraId="09BE2E33" w14:textId="77777777" w:rsidR="00BD18A3" w:rsidRDefault="00BD18A3" w:rsidP="00BD18A3">
      <w:pPr>
        <w:pStyle w:val="Lijstalinea"/>
        <w:rPr>
          <w:lang w:val="nl-NL"/>
        </w:rPr>
      </w:pPr>
    </w:p>
    <w:p w14:paraId="5FFF0F6D" w14:textId="77777777" w:rsidR="00BD18A3" w:rsidRPr="004A4F38" w:rsidRDefault="00BD18A3" w:rsidP="00BD18A3">
      <w:pPr>
        <w:pStyle w:val="Lijstalinea"/>
        <w:numPr>
          <w:ilvl w:val="0"/>
          <w:numId w:val="26"/>
        </w:numPr>
        <w:ind w:left="0" w:firstLine="0"/>
        <w:rPr>
          <w:lang w:val="nl-NL"/>
        </w:rPr>
      </w:pPr>
      <w:r w:rsidRPr="004A4F38">
        <w:rPr>
          <w:lang w:val="nl-NL"/>
        </w:rPr>
        <w:t>De wettelijke samenwoning kan binnen het huidig wettelijk kader niet worden gekoppeld aan een uitdovende tijdsbepaling. Hieruit kan worden geconcludeerd dat ook de wettelijke samenwoning een karakter van onbepaalde duur heeft.</w:t>
      </w:r>
      <w:r w:rsidRPr="00A3131B">
        <w:rPr>
          <w:rStyle w:val="Voetnootmarkering"/>
          <w:lang w:val="nl-NL"/>
        </w:rPr>
        <w:footnoteReference w:id="41"/>
      </w:r>
      <w:r w:rsidRPr="004A4F38">
        <w:rPr>
          <w:lang w:val="nl-NL"/>
        </w:rPr>
        <w:t xml:space="preserve"> Aangezien de wettelijke samenwoning geënt was op het reeds bestaande huwelijk en als inspiratie fungeerde, werd het karakter van onbepaalde duur, klevend aan het huwelijk, mee gekopieerd.</w:t>
      </w:r>
      <w:r>
        <w:rPr>
          <w:rStyle w:val="Voetnootmarkering"/>
          <w:lang w:val="nl-NL"/>
        </w:rPr>
        <w:footnoteReference w:id="42"/>
      </w:r>
    </w:p>
    <w:p w14:paraId="56FFAB94" w14:textId="77777777" w:rsidR="00BD18A3" w:rsidRDefault="00BD18A3" w:rsidP="00BD18A3">
      <w:pPr>
        <w:pStyle w:val="Kop2"/>
        <w:rPr>
          <w:lang w:val="nl-NL"/>
        </w:rPr>
      </w:pPr>
      <w:bookmarkStart w:id="26" w:name="_Toc167990449"/>
      <w:r>
        <w:rPr>
          <w:lang w:val="nl-NL"/>
        </w:rPr>
        <w:t>Hoofdstuk 3. Feitelijke samenwoning</w:t>
      </w:r>
      <w:bookmarkEnd w:id="26"/>
    </w:p>
    <w:p w14:paraId="29662495" w14:textId="77777777" w:rsidR="00BD18A3" w:rsidRDefault="00BD18A3" w:rsidP="00BD18A3">
      <w:pPr>
        <w:pStyle w:val="Kop3"/>
        <w:numPr>
          <w:ilvl w:val="0"/>
          <w:numId w:val="21"/>
        </w:numPr>
        <w:rPr>
          <w:lang w:val="nl-NL"/>
        </w:rPr>
      </w:pPr>
      <w:bookmarkStart w:id="27" w:name="_Toc167990450"/>
      <w:r>
        <w:rPr>
          <w:lang w:val="nl-NL"/>
        </w:rPr>
        <w:t>Begripsomschrijving</w:t>
      </w:r>
      <w:bookmarkEnd w:id="27"/>
    </w:p>
    <w:p w14:paraId="4E963D79" w14:textId="77777777" w:rsidR="00BD18A3" w:rsidRPr="004A4F38" w:rsidRDefault="00BD18A3" w:rsidP="00BD18A3">
      <w:pPr>
        <w:pStyle w:val="Lijstalinea"/>
        <w:numPr>
          <w:ilvl w:val="0"/>
          <w:numId w:val="26"/>
        </w:numPr>
        <w:ind w:left="0" w:firstLine="0"/>
        <w:rPr>
          <w:lang w:val="nl-NL"/>
        </w:rPr>
      </w:pPr>
      <w:r w:rsidRPr="004A4F38">
        <w:rPr>
          <w:lang w:val="nl-NL"/>
        </w:rPr>
        <w:t>Het huwelijk en de wettelijke samenwoning staan in schril contrast tot de feitelijke samenwoning dat niet als instituut wordt aangegaan, maar een feitelijke situatie behept dat overeenkomstig het gemeen recht geregeld wordt.</w:t>
      </w:r>
      <w:r w:rsidRPr="00A3131B">
        <w:rPr>
          <w:rStyle w:val="Voetnootmarkering"/>
          <w:lang w:val="nl-NL"/>
        </w:rPr>
        <w:footnoteReference w:id="43"/>
      </w:r>
      <w:r w:rsidRPr="004A4F38">
        <w:rPr>
          <w:lang w:val="nl-NL"/>
        </w:rPr>
        <w:t xml:space="preserve"> Er zal dus geen statuut ontstaan </w:t>
      </w:r>
      <w:r w:rsidRPr="004A4F38">
        <w:rPr>
          <w:lang w:val="nl-NL"/>
        </w:rPr>
        <w:lastRenderedPageBreak/>
        <w:t xml:space="preserve">waar rechten en plichten aan verbonden zijn voor feitelijk samenwonenden. </w:t>
      </w:r>
      <w:r>
        <w:t>Het is niet zo dat het door de wet wordt verboden, maar het wordt door de wetgever evenmin erkend als bron van specifieke rechtsverhoudingen.</w:t>
      </w:r>
      <w:r>
        <w:rPr>
          <w:rStyle w:val="Voetnootmarkering"/>
        </w:rPr>
        <w:footnoteReference w:id="44"/>
      </w:r>
      <w:r>
        <w:t xml:space="preserve"> De feitelijke samenwoning is bijgevolg geen </w:t>
      </w:r>
      <w:r w:rsidRPr="0043419F">
        <w:t>ge</w:t>
      </w:r>
      <w:r>
        <w:t>ï</w:t>
      </w:r>
      <w:r w:rsidRPr="0043419F">
        <w:t>nstitutionaliseerde relat</w:t>
      </w:r>
      <w:r>
        <w:t xml:space="preserve">ievorm dat </w:t>
      </w:r>
      <w:r w:rsidRPr="0043419F">
        <w:t>in het Burgerlijk Wetboek</w:t>
      </w:r>
      <w:r>
        <w:t xml:space="preserve"> is ingeschreven.</w:t>
      </w:r>
      <w:r>
        <w:rPr>
          <w:rStyle w:val="Voetnootmarkering"/>
        </w:rPr>
        <w:footnoteReference w:id="45"/>
      </w:r>
    </w:p>
    <w:p w14:paraId="74C12086" w14:textId="77777777" w:rsidR="00BD18A3" w:rsidRDefault="00BD18A3" w:rsidP="00BD18A3">
      <w:pPr>
        <w:pStyle w:val="Kop3"/>
        <w:numPr>
          <w:ilvl w:val="0"/>
          <w:numId w:val="21"/>
        </w:numPr>
        <w:rPr>
          <w:lang w:val="nl-NL"/>
        </w:rPr>
      </w:pPr>
      <w:bookmarkStart w:id="28" w:name="_Toc167990451"/>
      <w:r>
        <w:rPr>
          <w:lang w:val="nl-NL"/>
        </w:rPr>
        <w:t xml:space="preserve">Primair en secundair </w:t>
      </w:r>
      <w:proofErr w:type="spellStart"/>
      <w:r>
        <w:rPr>
          <w:lang w:val="nl-NL"/>
        </w:rPr>
        <w:t>samenwoningsrecht</w:t>
      </w:r>
      <w:bookmarkEnd w:id="28"/>
      <w:proofErr w:type="spellEnd"/>
    </w:p>
    <w:p w14:paraId="30099F27" w14:textId="77777777" w:rsidR="00BD18A3" w:rsidRPr="004A4F38" w:rsidRDefault="00BD18A3" w:rsidP="00BD18A3">
      <w:pPr>
        <w:pStyle w:val="Lijstalinea"/>
        <w:numPr>
          <w:ilvl w:val="0"/>
          <w:numId w:val="26"/>
        </w:numPr>
        <w:ind w:left="0" w:firstLine="0"/>
        <w:rPr>
          <w:lang w:val="nl-NL"/>
        </w:rPr>
      </w:pPr>
      <w:r w:rsidRPr="004A4F38">
        <w:rPr>
          <w:lang w:val="nl-NL"/>
        </w:rPr>
        <w:t xml:space="preserve">Aangezien de feitelijke samenwoning geen geïnstitutionaliseerde relatievorm is dat in het Burgerlijk Wetboek is ingeschreven, wordt er niet voorzien in een wettelijk kader rond de feitelijke samenwoning. Dit maakt dat er voor de feitelijke samenwoning geen primair </w:t>
      </w:r>
      <w:proofErr w:type="spellStart"/>
      <w:r w:rsidRPr="004A4F38">
        <w:rPr>
          <w:lang w:val="nl-NL"/>
        </w:rPr>
        <w:t>samenwoningsrecht</w:t>
      </w:r>
      <w:proofErr w:type="spellEnd"/>
      <w:r w:rsidRPr="004A4F38">
        <w:rPr>
          <w:lang w:val="nl-NL"/>
        </w:rPr>
        <w:t xml:space="preserve"> bestaat. Er zijn dus geen rechtsregels die dwingend van toepassing zijn voor de feitelijke samenwoning. Hierdoor begeven feitelijke samenwoners zich op juridisch glad en onzeker ijs. Er bestaat namelijk geen </w:t>
      </w:r>
      <w:proofErr w:type="spellStart"/>
      <w:r w:rsidRPr="004A4F38">
        <w:rPr>
          <w:lang w:val="nl-NL"/>
        </w:rPr>
        <w:t>samenwoningsverplichting</w:t>
      </w:r>
      <w:proofErr w:type="spellEnd"/>
      <w:r w:rsidRPr="004A4F38">
        <w:rPr>
          <w:lang w:val="nl-NL"/>
        </w:rPr>
        <w:t>, geen getrouwheidsverplichting, geen bijstandsverplichting en geen wettelijke hulpverplichting.</w:t>
      </w:r>
      <w:r>
        <w:rPr>
          <w:rStyle w:val="Voetnootmarkering"/>
          <w:lang w:val="nl-NL"/>
        </w:rPr>
        <w:footnoteReference w:id="46"/>
      </w:r>
    </w:p>
    <w:p w14:paraId="7C2B7959" w14:textId="77777777" w:rsidR="00BD18A3" w:rsidRDefault="00BD18A3" w:rsidP="00BD18A3">
      <w:pPr>
        <w:rPr>
          <w:lang w:val="nl-NL"/>
        </w:rPr>
      </w:pPr>
    </w:p>
    <w:p w14:paraId="2ADB57E6" w14:textId="77777777" w:rsidR="00BD18A3" w:rsidRPr="004A4F38" w:rsidRDefault="00BD18A3" w:rsidP="00BD18A3">
      <w:pPr>
        <w:pStyle w:val="Lijstalinea"/>
        <w:numPr>
          <w:ilvl w:val="0"/>
          <w:numId w:val="26"/>
        </w:numPr>
        <w:ind w:left="0" w:firstLine="0"/>
        <w:rPr>
          <w:lang w:val="nl-NL"/>
        </w:rPr>
      </w:pPr>
      <w:r w:rsidRPr="004A4F38">
        <w:rPr>
          <w:lang w:val="nl-NL"/>
        </w:rPr>
        <w:t xml:space="preserve">Bij afwezigheid van een wettelijk kader wordt er voor het vormgeven van het secundair </w:t>
      </w:r>
      <w:proofErr w:type="spellStart"/>
      <w:r w:rsidRPr="004A4F38">
        <w:rPr>
          <w:lang w:val="nl-NL"/>
        </w:rPr>
        <w:t>samenwoningsrecht</w:t>
      </w:r>
      <w:proofErr w:type="spellEnd"/>
      <w:r w:rsidRPr="004A4F38">
        <w:rPr>
          <w:lang w:val="nl-NL"/>
        </w:rPr>
        <w:t xml:space="preserve"> bij de feitelijke samenwoning, teruggegrepen naar het gemeen verbintenissenrecht.</w:t>
      </w:r>
      <w:r w:rsidRPr="007100B0">
        <w:rPr>
          <w:rStyle w:val="Voetnootmarkering"/>
          <w:lang w:val="nl-NL"/>
        </w:rPr>
        <w:footnoteReference w:id="47"/>
      </w:r>
    </w:p>
    <w:p w14:paraId="3BC7E31A" w14:textId="77777777" w:rsidR="00BD18A3" w:rsidRPr="002851E4" w:rsidRDefault="00BD18A3" w:rsidP="00BD18A3">
      <w:pPr>
        <w:pStyle w:val="Kop3"/>
        <w:numPr>
          <w:ilvl w:val="0"/>
          <w:numId w:val="21"/>
        </w:numPr>
        <w:rPr>
          <w:lang w:val="nl-NL"/>
        </w:rPr>
      </w:pPr>
      <w:bookmarkStart w:id="29" w:name="_Toc167990452"/>
      <w:r>
        <w:rPr>
          <w:lang w:val="nl-NL"/>
        </w:rPr>
        <w:t>Duur</w:t>
      </w:r>
      <w:bookmarkEnd w:id="29"/>
    </w:p>
    <w:p w14:paraId="7E604065" w14:textId="77777777" w:rsidR="00BD18A3" w:rsidRPr="004A4F38" w:rsidRDefault="00BD18A3" w:rsidP="00BD18A3">
      <w:pPr>
        <w:pStyle w:val="Lijstalinea"/>
        <w:numPr>
          <w:ilvl w:val="0"/>
          <w:numId w:val="26"/>
        </w:numPr>
        <w:ind w:left="0" w:firstLine="0"/>
        <w:rPr>
          <w:lang w:val="nl-NL"/>
        </w:rPr>
      </w:pPr>
      <w:r w:rsidRPr="004A4F38">
        <w:rPr>
          <w:lang w:val="nl-NL"/>
        </w:rPr>
        <w:t>Vanwege de loutere feitelijke toestand en het ontbreken van een specifiek statuut voor feitelijk samenwonenden zijn er vervolgens geen specifieke regels betreffende het aangaan en beëindigen van de feitelijke samenwoning.</w:t>
      </w:r>
      <w:r>
        <w:rPr>
          <w:rStyle w:val="Voetnootmarkering"/>
          <w:lang w:val="nl-NL"/>
        </w:rPr>
        <w:footnoteReference w:id="48"/>
      </w:r>
      <w:r w:rsidRPr="004A4F38">
        <w:rPr>
          <w:lang w:val="nl-NL"/>
        </w:rPr>
        <w:t xml:space="preserve"> Door het gebrek aan institutionalisering is het bepalen van de duur niet wettelijk geregeld en is de keuze van de duur van de feitelijke samenwoning volledig vrij. Hierdoor is een onderzoek naar het scheppen van een feitelijke samenwoning van bepaalde duur compleet irrelevant en wordt dit bijgevolg geweerd uit het toepassingsgebied van dit onderzoek.</w:t>
      </w:r>
      <w:bookmarkStart w:id="30" w:name="_Toc152249671"/>
    </w:p>
    <w:p w14:paraId="4D936EBB" w14:textId="77777777" w:rsidR="00BD18A3" w:rsidRPr="006A426A" w:rsidRDefault="00BD18A3" w:rsidP="00BD18A3">
      <w:pPr>
        <w:spacing w:line="240" w:lineRule="auto"/>
        <w:jc w:val="left"/>
        <w:rPr>
          <w:lang w:val="nl-NL"/>
        </w:rPr>
      </w:pPr>
      <w:r>
        <w:rPr>
          <w:lang w:val="nl-NL"/>
        </w:rPr>
        <w:br w:type="page"/>
      </w:r>
    </w:p>
    <w:p w14:paraId="2C0BE882" w14:textId="77777777" w:rsidR="00BD18A3" w:rsidRDefault="00BD18A3" w:rsidP="00BD18A3">
      <w:pPr>
        <w:pStyle w:val="Kop1"/>
      </w:pPr>
      <w:bookmarkStart w:id="31" w:name="_Toc167990453"/>
      <w:r>
        <w:lastRenderedPageBreak/>
        <w:t>DEEL II: Naar een huwelijk en wettelijke samenwoning van bepaalde duur</w:t>
      </w:r>
      <w:bookmarkEnd w:id="30"/>
      <w:r>
        <w:t>?</w:t>
      </w:r>
      <w:bookmarkEnd w:id="31"/>
    </w:p>
    <w:p w14:paraId="5FE37E45" w14:textId="77777777" w:rsidR="00BD18A3" w:rsidRPr="00F851A3" w:rsidRDefault="00BD18A3" w:rsidP="00BD18A3">
      <w:pPr>
        <w:pStyle w:val="Lijstalinea"/>
        <w:numPr>
          <w:ilvl w:val="0"/>
          <w:numId w:val="26"/>
        </w:numPr>
        <w:ind w:left="0" w:firstLine="0"/>
        <w:rPr>
          <w:lang w:val="nl-NL"/>
        </w:rPr>
      </w:pPr>
      <w:r w:rsidRPr="00F851A3">
        <w:rPr>
          <w:lang w:val="nl-NL"/>
        </w:rPr>
        <w:t xml:space="preserve">Dit deel spitst zicht toe of en desgevallend op welke manier het huwelijk en de wettelijke samenwoning van bepaalde duur zijn intrede kan maken binnen het Belgisch recht. Hiervoor zal het huwelijk en de wettelijke samenwoning eerst in een verbintenisrechtelijk perspectief worden geplaatst om zich vervolgens te kunnen richten op de concrete vormgeving van de koppeling van een tijdsbepaling aan </w:t>
      </w:r>
      <w:r>
        <w:rPr>
          <w:lang w:val="nl-NL"/>
        </w:rPr>
        <w:t>de relatievorm</w:t>
      </w:r>
      <w:r w:rsidRPr="00F851A3">
        <w:rPr>
          <w:lang w:val="nl-NL"/>
        </w:rPr>
        <w:t>. Tevens bespreekt dit deel de hindernissen waarop het huwelijk en de wettelijke samenwoning van bepaalde duur kunnen stuiten. Op welke wijze kunnen deze worden overwonnen of struikelt het huwelijk en de wettelijke samenwoning van bepaalde duur hierover?</w:t>
      </w:r>
    </w:p>
    <w:p w14:paraId="356FFC00" w14:textId="77777777" w:rsidR="00BD18A3" w:rsidRDefault="00BD18A3" w:rsidP="00BD18A3">
      <w:pPr>
        <w:pStyle w:val="Kop2"/>
        <w:rPr>
          <w:lang w:val="nl-NL"/>
        </w:rPr>
      </w:pPr>
      <w:bookmarkStart w:id="32" w:name="_Toc167990454"/>
      <w:r>
        <w:rPr>
          <w:lang w:val="nl-NL"/>
        </w:rPr>
        <w:t>Hoofdstuk 1. Verbintenisrechtelijk perspectief</w:t>
      </w:r>
      <w:bookmarkEnd w:id="32"/>
    </w:p>
    <w:p w14:paraId="24236B29" w14:textId="77777777" w:rsidR="00BD18A3" w:rsidRPr="00EE1E6B" w:rsidRDefault="00BD18A3" w:rsidP="00BD18A3">
      <w:pPr>
        <w:pStyle w:val="Lijstalinea"/>
        <w:numPr>
          <w:ilvl w:val="0"/>
          <w:numId w:val="26"/>
        </w:numPr>
        <w:ind w:left="0" w:firstLine="0"/>
        <w:rPr>
          <w:lang w:val="nl-NL"/>
        </w:rPr>
      </w:pPr>
      <w:r w:rsidRPr="00EE1E6B">
        <w:rPr>
          <w:lang w:val="nl-NL"/>
        </w:rPr>
        <w:t>Zoals eerder uiteengezet wordt het huwelijk en de wettelijke samenwoning beschouwt als een instituut. Dit houdt in dat het wettelijk kader omtrent het huwelijk en de wettelijke samenwoning overeenkomstig eigen regels is opgebouwd en niet op basis van het gemeenrechtelijk verbintenissenrecht.</w:t>
      </w:r>
      <w:r>
        <w:rPr>
          <w:rStyle w:val="Voetnootmarkering"/>
          <w:lang w:val="nl-NL"/>
        </w:rPr>
        <w:footnoteReference w:id="49"/>
      </w:r>
      <w:r w:rsidRPr="00EE1E6B">
        <w:rPr>
          <w:lang w:val="nl-NL"/>
        </w:rPr>
        <w:t xml:space="preserve"> Desalniettemin zal het gemeen verbintenissenrecht een cruciale rol spelen binnen dit onderzoek. </w:t>
      </w:r>
    </w:p>
    <w:p w14:paraId="7DD2D197" w14:textId="77777777" w:rsidR="00BD18A3" w:rsidRDefault="00BD18A3" w:rsidP="00BD18A3">
      <w:pPr>
        <w:rPr>
          <w:lang w:val="nl-NL"/>
        </w:rPr>
      </w:pPr>
    </w:p>
    <w:p w14:paraId="1BBF9BEC" w14:textId="77777777" w:rsidR="00BD18A3" w:rsidRPr="00C8277A" w:rsidRDefault="00BD18A3" w:rsidP="00BD18A3">
      <w:pPr>
        <w:pStyle w:val="Lijstalinea"/>
        <w:numPr>
          <w:ilvl w:val="0"/>
          <w:numId w:val="26"/>
        </w:numPr>
        <w:ind w:left="0" w:firstLine="0"/>
        <w:rPr>
          <w:lang w:val="nl-NL"/>
        </w:rPr>
      </w:pPr>
      <w:r w:rsidRPr="00C8277A">
        <w:rPr>
          <w:lang w:val="nl-NL"/>
        </w:rPr>
        <w:t>Dit hoofdstuk reduceert het huwelijk en de wettelijke samenwoning tot haar essentie: het huwelijk en de wettelijke samenwoning als een wederkerig contract waarbij de partijen over en weer</w:t>
      </w:r>
      <w:r>
        <w:rPr>
          <w:lang w:val="nl-NL"/>
        </w:rPr>
        <w:t>,</w:t>
      </w:r>
      <w:r w:rsidRPr="00C8277A">
        <w:rPr>
          <w:lang w:val="nl-NL"/>
        </w:rPr>
        <w:t xml:space="preserve"> jegens elkaar verbonden zijn.</w:t>
      </w:r>
      <w:r>
        <w:rPr>
          <w:rStyle w:val="Voetnootmarkering"/>
          <w:lang w:val="nl-NL"/>
        </w:rPr>
        <w:footnoteReference w:id="50"/>
      </w:r>
      <w:r w:rsidRPr="00C8277A">
        <w:rPr>
          <w:lang w:val="nl-NL"/>
        </w:rPr>
        <w:t xml:space="preserve"> Op deze wijze zal het instituut in een eerste fase fictief, bij wijze van denkoefening, worden afgebroken om zo de verbintenisrechtelijk grondslag bloot te leggen. Vervolgens zal het in een volgende fase terug worden opgebouwd tot het huwelijk en de wettelijke samenwoning van bepaalde duur. In een later hoofdstuk binnen dit deel wordt dit nieuw geconstrueerde huwelijk en wettelijke samenwoning van bepaalde duur getoetst aan de grondvoorwaarden</w:t>
      </w:r>
      <w:r>
        <w:rPr>
          <w:lang w:val="nl-NL"/>
        </w:rPr>
        <w:t xml:space="preserve"> en vereisten</w:t>
      </w:r>
      <w:r w:rsidRPr="00C8277A">
        <w:rPr>
          <w:lang w:val="nl-NL"/>
        </w:rPr>
        <w:t xml:space="preserve"> van het instituut huwelijk en wettelijke samenwoning. Dit om na te gaan of het huwelijk en de wettelijke samenwoning van bepaalde duur, nog dusdanig gekwalificeerd kan worden als zijnde een huwelijk of wettelijke samenwoning (</w:t>
      </w:r>
      <w:r w:rsidRPr="002D36FE">
        <w:rPr>
          <w:i/>
          <w:iCs/>
          <w:lang w:val="nl-NL"/>
        </w:rPr>
        <w:t>infra</w:t>
      </w:r>
      <w:r>
        <w:rPr>
          <w:lang w:val="nl-NL"/>
        </w:rPr>
        <w:t xml:space="preserve"> </w:t>
      </w:r>
      <w:r w:rsidRPr="002D36FE">
        <w:rPr>
          <w:lang w:val="nl-NL"/>
        </w:rPr>
        <w:t>randnummer 4</w:t>
      </w:r>
      <w:r>
        <w:rPr>
          <w:lang w:val="nl-NL"/>
        </w:rPr>
        <w:t>8</w:t>
      </w:r>
      <w:r w:rsidRPr="002D36FE">
        <w:rPr>
          <w:lang w:val="nl-NL"/>
        </w:rPr>
        <w:t xml:space="preserve"> e.v.).</w:t>
      </w:r>
    </w:p>
    <w:p w14:paraId="20CD6F33" w14:textId="77777777" w:rsidR="00BD18A3" w:rsidRDefault="00BD18A3" w:rsidP="00BD18A3">
      <w:pPr>
        <w:rPr>
          <w:lang w:val="nl-NL"/>
        </w:rPr>
      </w:pPr>
    </w:p>
    <w:p w14:paraId="042FAF6E" w14:textId="77777777" w:rsidR="00BD18A3" w:rsidRPr="004162F5" w:rsidRDefault="00BD18A3" w:rsidP="00BD18A3">
      <w:pPr>
        <w:pStyle w:val="Lijstalinea"/>
        <w:numPr>
          <w:ilvl w:val="0"/>
          <w:numId w:val="26"/>
        </w:numPr>
        <w:ind w:left="0" w:firstLine="0"/>
        <w:rPr>
          <w:lang w:val="nl-NL"/>
        </w:rPr>
      </w:pPr>
      <w:r w:rsidRPr="004162F5">
        <w:rPr>
          <w:lang w:val="nl-NL"/>
        </w:rPr>
        <w:t xml:space="preserve">Louter door een verbintenisrechtelijke bril bekeken is het huwelijk en de wettelijke samenwoning een wilsovereenstemming tussen twee personen met de bedoeling rechtsgevolgen te doen ontstaan. Het huwelijk en de wettelijke samenwoning typeert zich </w:t>
      </w:r>
      <w:r w:rsidRPr="004162F5">
        <w:rPr>
          <w:lang w:val="nl-NL"/>
        </w:rPr>
        <w:lastRenderedPageBreak/>
        <w:t>dus als een contract of overeenkomst.</w:t>
      </w:r>
      <w:r>
        <w:rPr>
          <w:rStyle w:val="Voetnootmarkering"/>
          <w:lang w:val="nl-NL"/>
        </w:rPr>
        <w:footnoteReference w:id="51"/>
      </w:r>
      <w:r w:rsidRPr="004162F5">
        <w:rPr>
          <w:lang w:val="nl-NL"/>
        </w:rPr>
        <w:t xml:space="preserve"> Meer specifiek kan het huwelijk en de wettelijke samenwoning gekwalificeerd worden als een wederkerig contract aangezien de echtgenoten of wettelijke samenwonenden over en weer</w:t>
      </w:r>
      <w:r>
        <w:rPr>
          <w:lang w:val="nl-NL"/>
        </w:rPr>
        <w:t>,</w:t>
      </w:r>
      <w:r w:rsidRPr="004162F5">
        <w:rPr>
          <w:lang w:val="nl-NL"/>
        </w:rPr>
        <w:t xml:space="preserve"> jegens elkaar verbonden zijn.</w:t>
      </w:r>
      <w:r>
        <w:rPr>
          <w:rStyle w:val="Voetnootmarkering"/>
          <w:lang w:val="nl-NL"/>
        </w:rPr>
        <w:footnoteReference w:id="52"/>
      </w:r>
      <w:r w:rsidRPr="004162F5">
        <w:rPr>
          <w:lang w:val="nl-NL"/>
        </w:rPr>
        <w:t xml:space="preserve"> Hierdoor is een rechtsband gecreëerd, waarbij op grond hiervan de echtgenoten en wettelijk samenwonenden indien nodig in rechte, de uitvoering van een prestatie </w:t>
      </w:r>
      <w:r>
        <w:rPr>
          <w:lang w:val="nl-NL"/>
        </w:rPr>
        <w:t>kunnen</w:t>
      </w:r>
      <w:r w:rsidRPr="004162F5">
        <w:rPr>
          <w:lang w:val="nl-NL"/>
        </w:rPr>
        <w:t xml:space="preserve"> eisen. Met andere woorden spelen er verbintenissen tussen hen, die in rechte afdwingbaar zijn.</w:t>
      </w:r>
      <w:r>
        <w:rPr>
          <w:rStyle w:val="Voetnootmarkering"/>
          <w:lang w:val="nl-NL"/>
        </w:rPr>
        <w:footnoteReference w:id="53"/>
      </w:r>
      <w:r w:rsidRPr="004162F5">
        <w:rPr>
          <w:lang w:val="nl-NL"/>
        </w:rPr>
        <w:t xml:space="preserve"> </w:t>
      </w:r>
    </w:p>
    <w:p w14:paraId="3469AF68" w14:textId="77777777" w:rsidR="00BD18A3" w:rsidRDefault="00BD18A3" w:rsidP="00BD18A3">
      <w:pPr>
        <w:rPr>
          <w:lang w:val="nl-NL"/>
        </w:rPr>
      </w:pPr>
    </w:p>
    <w:p w14:paraId="557AF535" w14:textId="77777777" w:rsidR="00BD18A3" w:rsidRPr="00EF0D67" w:rsidRDefault="00BD18A3" w:rsidP="00BD18A3">
      <w:pPr>
        <w:pStyle w:val="Lijstalinea"/>
        <w:numPr>
          <w:ilvl w:val="0"/>
          <w:numId w:val="26"/>
        </w:numPr>
        <w:ind w:left="0" w:firstLine="0"/>
        <w:rPr>
          <w:lang w:val="nl-NL"/>
        </w:rPr>
      </w:pPr>
      <w:r w:rsidRPr="00EF0D67">
        <w:rPr>
          <w:lang w:val="nl-NL"/>
        </w:rPr>
        <w:t>Wanneer het huwelijk en wettelijke samenwoning gekoppeld wordt aan een tijdsbepaling en wanneer het verstrijken van deze tijdsbepaling het tenietgaan van het huwelijk of de wettelijke samenwoning teweegbrengt, is er sprake van een uitdovende tijdsbepaling.</w:t>
      </w:r>
      <w:r>
        <w:rPr>
          <w:rStyle w:val="Voetnootmarkering"/>
          <w:lang w:val="nl-NL"/>
        </w:rPr>
        <w:footnoteReference w:id="54"/>
      </w:r>
      <w:r w:rsidRPr="00EF0D67">
        <w:rPr>
          <w:lang w:val="nl-NL"/>
        </w:rPr>
        <w:t xml:space="preserve"> De wetgever erkent uitdrukkelijk de uitdovende tijdsbepaling als grond van tenietgaan van een verbintenis.</w:t>
      </w:r>
      <w:r>
        <w:rPr>
          <w:rStyle w:val="Voetnootmarkering"/>
          <w:lang w:val="nl-NL"/>
        </w:rPr>
        <w:footnoteReference w:id="55"/>
      </w:r>
      <w:r w:rsidRPr="00EF0D67">
        <w:rPr>
          <w:lang w:val="nl-NL"/>
        </w:rPr>
        <w:t xml:space="preserve"> Het huwelijk en de wettelijke samenwoning van bepaalde duur kan dus gekwalificeerd worden als een huwelijk en een wettelijke samenwoning met een uitdovende tijdsbepaling.</w:t>
      </w:r>
      <w:r>
        <w:rPr>
          <w:rStyle w:val="Voetnootmarkering"/>
          <w:lang w:val="nl-NL"/>
        </w:rPr>
        <w:footnoteReference w:id="56"/>
      </w:r>
      <w:r w:rsidRPr="00EF0D67">
        <w:rPr>
          <w:lang w:val="nl-NL"/>
        </w:rPr>
        <w:t xml:space="preserve"> Een contract dat een uitdovende tijdbepaling bevat, is een contract van bepaalde duur. Wanneer er dus een koppeling is van een uitdovende tijdsbepaling aan het huwelijk of de wettelijke samenwoning, is dit een contract van bepaalde duur.</w:t>
      </w:r>
      <w:r>
        <w:rPr>
          <w:rStyle w:val="Voetnootmarkering"/>
          <w:lang w:val="nl-NL"/>
        </w:rPr>
        <w:footnoteReference w:id="57"/>
      </w:r>
    </w:p>
    <w:p w14:paraId="691DD695" w14:textId="77777777" w:rsidR="00BD18A3" w:rsidRDefault="00BD18A3" w:rsidP="00BD18A3">
      <w:pPr>
        <w:pStyle w:val="Kop2"/>
        <w:rPr>
          <w:lang w:val="nl-NL"/>
        </w:rPr>
      </w:pPr>
      <w:bookmarkStart w:id="33" w:name="_Toc167990455"/>
      <w:r>
        <w:rPr>
          <w:lang w:val="nl-NL"/>
        </w:rPr>
        <w:t>Hoofdstuk 2. Hinderpalen</w:t>
      </w:r>
      <w:bookmarkEnd w:id="33"/>
    </w:p>
    <w:p w14:paraId="38BDF449" w14:textId="77777777" w:rsidR="00BD18A3" w:rsidRPr="00EF0D67" w:rsidRDefault="00BD18A3" w:rsidP="00BD18A3">
      <w:pPr>
        <w:pStyle w:val="Lijstalinea"/>
        <w:numPr>
          <w:ilvl w:val="0"/>
          <w:numId w:val="26"/>
        </w:numPr>
        <w:ind w:left="0" w:firstLine="0"/>
        <w:rPr>
          <w:lang w:val="nl-NL"/>
        </w:rPr>
      </w:pPr>
      <w:r w:rsidRPr="00EF0D67">
        <w:rPr>
          <w:lang w:val="nl-NL"/>
        </w:rPr>
        <w:t>Het huwelijk en de wettelijke samenwoning van bepaalde duur leven inblazen is allesbehalve een sinecure. Rechtsfilosofische obstakels en praktische bedenkingen rijzen aan het oppervlak bij het uitwerken en invulling geven aan het huwelijk en de wettelijke samenwoning van bepaalde duur. In dit hoofdstuk wordt de vinger gelegd op mogelijke obstakels waar het huwelijk en de wettelijke samenwoning van bepaalde duur op kan stuklopen of zijn dit enkel drempels die door middel van gestaafde juridisch redeneren, overwonnen kunnen worden?</w:t>
      </w:r>
    </w:p>
    <w:p w14:paraId="6A516C68" w14:textId="77777777" w:rsidR="00BD18A3" w:rsidRDefault="00BD18A3" w:rsidP="00BD18A3">
      <w:pPr>
        <w:pStyle w:val="Kop3"/>
        <w:numPr>
          <w:ilvl w:val="0"/>
          <w:numId w:val="5"/>
        </w:numPr>
        <w:ind w:left="426"/>
        <w:rPr>
          <w:lang w:val="nl-NL"/>
        </w:rPr>
      </w:pPr>
      <w:bookmarkStart w:id="34" w:name="_Toc167990456"/>
      <w:r>
        <w:rPr>
          <w:lang w:val="nl-NL"/>
        </w:rPr>
        <w:t>Openbare orde</w:t>
      </w:r>
      <w:bookmarkEnd w:id="34"/>
    </w:p>
    <w:p w14:paraId="50B8D475" w14:textId="77777777" w:rsidR="00BD18A3" w:rsidRDefault="00BD18A3" w:rsidP="00BD18A3">
      <w:pPr>
        <w:pStyle w:val="Lijstalinea"/>
        <w:numPr>
          <w:ilvl w:val="0"/>
          <w:numId w:val="26"/>
        </w:numPr>
        <w:ind w:left="0" w:firstLine="0"/>
        <w:rPr>
          <w:lang w:val="nl-NL"/>
        </w:rPr>
      </w:pPr>
      <w:r w:rsidRPr="00EF0D67">
        <w:rPr>
          <w:lang w:val="nl-NL"/>
        </w:rPr>
        <w:t>De openbare orde omvat al hetgeen behoort tot de wezenlijke belangen van de staat of tot de morele en economische grondslagen van de maatschappij. Aldus kan met zekerheid gesteld worden dat het huwelijksinstituut behoort tot de openbare orde.</w:t>
      </w:r>
      <w:r>
        <w:rPr>
          <w:rStyle w:val="Voetnootmarkering"/>
          <w:lang w:val="nl-NL"/>
        </w:rPr>
        <w:footnoteReference w:id="58"/>
      </w:r>
    </w:p>
    <w:p w14:paraId="5DBB5DF3" w14:textId="77777777" w:rsidR="00BD18A3" w:rsidRPr="00EF0D67" w:rsidRDefault="00BD18A3" w:rsidP="00BD18A3">
      <w:pPr>
        <w:pStyle w:val="Lijstalinea"/>
        <w:numPr>
          <w:ilvl w:val="0"/>
          <w:numId w:val="26"/>
        </w:numPr>
        <w:ind w:left="0" w:firstLine="0"/>
        <w:rPr>
          <w:lang w:val="nl-NL"/>
        </w:rPr>
      </w:pPr>
      <w:r w:rsidRPr="00EF0D67">
        <w:rPr>
          <w:lang w:val="nl-NL"/>
        </w:rPr>
        <w:lastRenderedPageBreak/>
        <w:t>Conservatiefgezindere stemmen zijn mogelijk van mening dat het huwelijk en de wettelijke samenwoning van bepaalde duur een aftakeling van het duurzame gezin in de hand zou werken. Dit aangezien het duurzame, lees</w:t>
      </w:r>
      <w:r>
        <w:rPr>
          <w:lang w:val="nl-NL"/>
        </w:rPr>
        <w:t>:</w:t>
      </w:r>
      <w:r w:rsidRPr="00EF0D67">
        <w:rPr>
          <w:lang w:val="nl-NL"/>
        </w:rPr>
        <w:t xml:space="preserve"> onbepaalde en levenslange, karakter van het huwelijk op de helling komt te staan, wat haaks staat op het doel van het huwelijk.</w:t>
      </w:r>
    </w:p>
    <w:p w14:paraId="78101E1F" w14:textId="77777777" w:rsidR="00BD18A3" w:rsidRDefault="00BD18A3" w:rsidP="00BD18A3">
      <w:pPr>
        <w:rPr>
          <w:lang w:val="nl-NL"/>
        </w:rPr>
      </w:pPr>
    </w:p>
    <w:p w14:paraId="1D608C37" w14:textId="77777777" w:rsidR="00BD18A3" w:rsidRDefault="00BD18A3" w:rsidP="00BD18A3">
      <w:pPr>
        <w:rPr>
          <w:lang w:val="nl-NL"/>
        </w:rPr>
      </w:pPr>
      <w:r>
        <w:rPr>
          <w:lang w:val="nl-NL"/>
        </w:rPr>
        <w:t>Deze stelling dient echter in perspectief geplaatst te worden. Diezelfde redenering werd namelijk ook verdedigd door de meerderheidsopvatting binnen de publieke opinie tot midden jaren zeventig voor wat betreft de feitelijke samenwoning. Deze traditionele opvatting opperde dat de feitelijke samenwoning strijdig was met de openbare orde. Door de toename aan echtscheidingsmogelijkheden en doordat echtscheidingen een frequent voorkomend maatschappelijk fenomeen zijn geworden, leek dit argument midden jaren zeventig niet langer geloofwaardig.</w:t>
      </w:r>
      <w:r>
        <w:rPr>
          <w:rStyle w:val="Voetnootmarkering"/>
          <w:lang w:val="nl-NL"/>
        </w:rPr>
        <w:footnoteReference w:id="59"/>
      </w:r>
      <w:r>
        <w:rPr>
          <w:lang w:val="nl-NL"/>
        </w:rPr>
        <w:t xml:space="preserve"> Midden jaren twintig van de volgende eeuw, wetende dat het aantal echtscheidingen min of meer hetzelfde is gebleven</w:t>
      </w:r>
      <w:r>
        <w:rPr>
          <w:rStyle w:val="Voetnootmarkering"/>
          <w:lang w:val="nl-NL"/>
        </w:rPr>
        <w:footnoteReference w:id="60"/>
      </w:r>
      <w:r>
        <w:rPr>
          <w:lang w:val="nl-NL"/>
        </w:rPr>
        <w:t>, lijkt dit argument helemaal voorbijgestreefd en volkomen ongeloofwaardig. Het narratief betreffende de verhouding van het huwelijk en de wettelijke samenwoning van bepaalde duur en de openbare orde kan dus wel eens een frisse wind gebruiken.</w:t>
      </w:r>
    </w:p>
    <w:p w14:paraId="1BEFE4B0" w14:textId="77777777" w:rsidR="00BD18A3" w:rsidRPr="00D966ED" w:rsidRDefault="00BD18A3" w:rsidP="00BD18A3">
      <w:pPr>
        <w:pStyle w:val="Kop3"/>
        <w:numPr>
          <w:ilvl w:val="0"/>
          <w:numId w:val="5"/>
        </w:numPr>
        <w:ind w:left="426"/>
        <w:rPr>
          <w:lang w:val="nl-NL"/>
        </w:rPr>
      </w:pPr>
      <w:bookmarkStart w:id="35" w:name="_Toc167990457"/>
      <w:r>
        <w:rPr>
          <w:lang w:val="nl-NL"/>
        </w:rPr>
        <w:t>Grondvoorwaarden</w:t>
      </w:r>
      <w:bookmarkEnd w:id="35"/>
    </w:p>
    <w:p w14:paraId="5D24EB15" w14:textId="77777777" w:rsidR="00BD18A3" w:rsidRDefault="00BD18A3" w:rsidP="00BD18A3">
      <w:pPr>
        <w:pStyle w:val="Lijstalinea"/>
        <w:numPr>
          <w:ilvl w:val="0"/>
          <w:numId w:val="26"/>
        </w:numPr>
        <w:ind w:left="0" w:firstLine="0"/>
        <w:rPr>
          <w:lang w:val="nl-NL"/>
        </w:rPr>
      </w:pPr>
      <w:r w:rsidRPr="00EF0D67">
        <w:rPr>
          <w:lang w:val="nl-NL"/>
        </w:rPr>
        <w:t>De grondvoorwaarden om een huwelijk te voltrekken bestaan uit: in leven zijn, wilsbekwaam</w:t>
      </w:r>
      <w:r>
        <w:rPr>
          <w:rStyle w:val="Voetnootmarkering"/>
          <w:lang w:val="nl-NL"/>
        </w:rPr>
        <w:footnoteReference w:id="61"/>
      </w:r>
      <w:r w:rsidRPr="00EF0D67">
        <w:rPr>
          <w:lang w:val="nl-NL"/>
        </w:rPr>
        <w:t xml:space="preserve"> en handelingsbekwaam</w:t>
      </w:r>
      <w:r>
        <w:rPr>
          <w:rStyle w:val="Voetnootmarkering"/>
          <w:lang w:val="nl-NL"/>
        </w:rPr>
        <w:footnoteReference w:id="62"/>
      </w:r>
      <w:r w:rsidRPr="00EF0D67">
        <w:rPr>
          <w:lang w:val="nl-NL"/>
        </w:rPr>
        <w:t xml:space="preserve"> zijn. Op deze laatste vereiste kan er wel een uitzondering worden gemaakt in de vorm van een leeftijdsdispensatie. Deze kan worden verleend door de familierechtbank onder bepaalde voorwaarden.</w:t>
      </w:r>
      <w:r w:rsidRPr="00A3131B">
        <w:rPr>
          <w:rStyle w:val="Voetnootmarkering"/>
          <w:lang w:val="nl-NL"/>
        </w:rPr>
        <w:footnoteReference w:id="63"/>
      </w:r>
      <w:r w:rsidRPr="00EF0D67">
        <w:rPr>
          <w:lang w:val="nl-NL"/>
        </w:rPr>
        <w:t xml:space="preserve"> Het geslacht van de twee personen speelt geen rol meer, aangezien het aanknopingspunt van het huwelijk niet meer zodanig ligt op voortplanting, maar veeleer op de organisatie van een levensgemeenschap.</w:t>
      </w:r>
      <w:r w:rsidRPr="00A3131B">
        <w:rPr>
          <w:rStyle w:val="Voetnootmarkering"/>
          <w:lang w:val="nl-NL"/>
        </w:rPr>
        <w:footnoteReference w:id="64"/>
      </w:r>
      <w:r w:rsidRPr="00EF0D67">
        <w:rPr>
          <w:lang w:val="nl-NL"/>
        </w:rPr>
        <w:t xml:space="preserve"> </w:t>
      </w:r>
    </w:p>
    <w:p w14:paraId="6C5B78D7" w14:textId="77777777" w:rsidR="00BD18A3" w:rsidRDefault="00BD18A3" w:rsidP="00BD18A3">
      <w:pPr>
        <w:pStyle w:val="Lijstalinea"/>
        <w:rPr>
          <w:lang w:val="nl-NL"/>
        </w:rPr>
      </w:pPr>
    </w:p>
    <w:p w14:paraId="0C37C5BF" w14:textId="77777777" w:rsidR="00BD18A3" w:rsidRDefault="00BD18A3" w:rsidP="00BD18A3">
      <w:pPr>
        <w:pStyle w:val="Lijstalinea"/>
        <w:numPr>
          <w:ilvl w:val="0"/>
          <w:numId w:val="26"/>
        </w:numPr>
        <w:ind w:left="0" w:firstLine="0"/>
        <w:rPr>
          <w:lang w:val="nl-NL"/>
        </w:rPr>
      </w:pPr>
      <w:r>
        <w:rPr>
          <w:lang w:val="nl-NL"/>
        </w:rPr>
        <w:t xml:space="preserve">De grondvoorwaarden voor de wettelijke samenwoning zijn bijna identiek aan die van het huwelijk. </w:t>
      </w:r>
      <w:r w:rsidRPr="00EF0D67">
        <w:rPr>
          <w:lang w:val="nl-NL"/>
        </w:rPr>
        <w:t xml:space="preserve">Dezelfde </w:t>
      </w:r>
      <w:r w:rsidRPr="00EF0D67">
        <w:rPr>
          <w:i/>
          <w:iCs/>
          <w:lang w:val="nl-NL"/>
        </w:rPr>
        <w:t xml:space="preserve">ratio legis </w:t>
      </w:r>
      <w:r w:rsidRPr="00EF0D67">
        <w:rPr>
          <w:lang w:val="nl-NL"/>
        </w:rPr>
        <w:t>is</w:t>
      </w:r>
      <w:r>
        <w:rPr>
          <w:lang w:val="nl-NL"/>
        </w:rPr>
        <w:t xml:space="preserve"> immers</w:t>
      </w:r>
      <w:r w:rsidRPr="00EF0D67">
        <w:rPr>
          <w:lang w:val="nl-NL"/>
        </w:rPr>
        <w:t xml:space="preserve"> gevolgd voor het bepalen van de grondvoorwaarden voor de wettelijke samenwoning.</w:t>
      </w:r>
      <w:r>
        <w:rPr>
          <w:rStyle w:val="Voetnootmarkering"/>
          <w:lang w:val="nl-NL"/>
        </w:rPr>
        <w:footnoteReference w:id="65"/>
      </w:r>
      <w:r w:rsidRPr="00EF0D67">
        <w:rPr>
          <w:lang w:val="nl-NL"/>
        </w:rPr>
        <w:t xml:space="preserve"> Verschillend is wel dat er geen leeftijdsdispensatie voor een niet-ontvoogde minderjarige mogelijk is en dat de wettelijk </w:t>
      </w:r>
      <w:r w:rsidRPr="00EF0D67">
        <w:rPr>
          <w:lang w:val="nl-NL"/>
        </w:rPr>
        <w:lastRenderedPageBreak/>
        <w:t>samenwonenden nauw verwant mogen zijn.</w:t>
      </w:r>
      <w:r w:rsidRPr="00A3131B">
        <w:rPr>
          <w:rStyle w:val="Voetnootmarkering"/>
          <w:lang w:val="nl-NL"/>
        </w:rPr>
        <w:footnoteReference w:id="66"/>
      </w:r>
      <w:r w:rsidRPr="00EF0D67">
        <w:rPr>
          <w:lang w:val="nl-NL"/>
        </w:rPr>
        <w:t xml:space="preserve"> De partijen moeten in tegenstelling tot het huwelijk al samenwonen op het ogenblik van de verklaring, maar vreemd genoeg is er geen verplichting tot samenwoning gedurende de wettelijke samenwoning.</w:t>
      </w:r>
      <w:r w:rsidRPr="00A3131B">
        <w:rPr>
          <w:rStyle w:val="Voetnootmarkering"/>
          <w:lang w:val="nl-NL"/>
        </w:rPr>
        <w:footnoteReference w:id="67"/>
      </w:r>
      <w:r w:rsidRPr="00EF0D67">
        <w:rPr>
          <w:lang w:val="nl-NL"/>
        </w:rPr>
        <w:t xml:space="preserve"> Dit in tegenstelling tot wat er in de voorbereidende werken en in bepaalde rechtsleer gesteld wordt</w:t>
      </w:r>
      <w:r>
        <w:rPr>
          <w:lang w:val="nl-NL"/>
        </w:rPr>
        <w:t>. Zij zijn van oordeel</w:t>
      </w:r>
      <w:r w:rsidRPr="00EF0D67">
        <w:rPr>
          <w:lang w:val="nl-NL"/>
        </w:rPr>
        <w:t xml:space="preserve"> dat de wettelijk samenwonenden niet noodzakelijk hun woonplaats moeten hebben op hetzelfde adres.</w:t>
      </w:r>
      <w:r>
        <w:rPr>
          <w:rStyle w:val="Voetnootmarkering"/>
          <w:lang w:val="nl-NL"/>
        </w:rPr>
        <w:footnoteReference w:id="68"/>
      </w:r>
      <w:r w:rsidRPr="00EF0D67">
        <w:rPr>
          <w:lang w:val="nl-NL"/>
        </w:rPr>
        <w:t xml:space="preserve"> Er kan dus worden afgeleid dat de wettelijke samenwoning ook een wettelijk kader kan scheppen aan een latrelatie.</w:t>
      </w:r>
      <w:r>
        <w:rPr>
          <w:rStyle w:val="Voetnootmarkering"/>
          <w:lang w:val="nl-NL"/>
        </w:rPr>
        <w:footnoteReference w:id="69"/>
      </w:r>
      <w:r>
        <w:rPr>
          <w:lang w:val="nl-NL"/>
        </w:rPr>
        <w:t xml:space="preserve"> I</w:t>
      </w:r>
      <w:r w:rsidRPr="00EF0D67">
        <w:rPr>
          <w:lang w:val="nl-NL"/>
        </w:rPr>
        <w:t xml:space="preserve">n tegenstelling tot het huwelijk, </w:t>
      </w:r>
      <w:r>
        <w:rPr>
          <w:lang w:val="nl-NL"/>
        </w:rPr>
        <w:t xml:space="preserve">zijn er </w:t>
      </w:r>
      <w:r w:rsidRPr="00EF0D67">
        <w:rPr>
          <w:lang w:val="nl-NL"/>
        </w:rPr>
        <w:t>aan de wettelijke samenwoning minder formaliteiten en verplichtingen verbonden, maar een wettelijk samenwonende</w:t>
      </w:r>
      <w:r>
        <w:rPr>
          <w:lang w:val="nl-NL"/>
        </w:rPr>
        <w:t xml:space="preserve"> verkrijgt</w:t>
      </w:r>
      <w:r w:rsidRPr="00EF0D67">
        <w:rPr>
          <w:lang w:val="nl-NL"/>
        </w:rPr>
        <w:t xml:space="preserve"> hierdoor ook minder rechten</w:t>
      </w:r>
      <w:r>
        <w:rPr>
          <w:lang w:val="nl-NL"/>
        </w:rPr>
        <w:t xml:space="preserve">, </w:t>
      </w:r>
      <w:r w:rsidRPr="00EF0D67">
        <w:rPr>
          <w:lang w:val="nl-NL"/>
        </w:rPr>
        <w:t>gekoppeld aan het statuut.</w:t>
      </w:r>
      <w:r>
        <w:rPr>
          <w:rStyle w:val="Voetnootmarkering"/>
          <w:lang w:val="nl-NL"/>
        </w:rPr>
        <w:footnoteReference w:id="70"/>
      </w:r>
    </w:p>
    <w:p w14:paraId="52A9EAC1" w14:textId="77777777" w:rsidR="00BD18A3" w:rsidRPr="00D36079" w:rsidRDefault="00BD18A3" w:rsidP="00BD18A3">
      <w:pPr>
        <w:pStyle w:val="Lijstalinea"/>
        <w:rPr>
          <w:lang w:val="nl-NL"/>
        </w:rPr>
      </w:pPr>
    </w:p>
    <w:p w14:paraId="5B9FDB0F" w14:textId="77777777" w:rsidR="00BD18A3" w:rsidRDefault="00BD18A3" w:rsidP="00BD18A3">
      <w:pPr>
        <w:pStyle w:val="Lijstalinea"/>
        <w:numPr>
          <w:ilvl w:val="0"/>
          <w:numId w:val="26"/>
        </w:numPr>
        <w:ind w:left="0" w:firstLine="0"/>
        <w:rPr>
          <w:lang w:val="nl-NL"/>
        </w:rPr>
      </w:pPr>
      <w:r w:rsidRPr="00D36079">
        <w:rPr>
          <w:lang w:val="nl-NL"/>
        </w:rPr>
        <w:t>Concluderend kan gesteld worden dat</w:t>
      </w:r>
      <w:r>
        <w:rPr>
          <w:lang w:val="nl-NL"/>
        </w:rPr>
        <w:t>,</w:t>
      </w:r>
      <w:r w:rsidRPr="00D36079">
        <w:rPr>
          <w:lang w:val="nl-NL"/>
        </w:rPr>
        <w:t xml:space="preserve"> afgaande op wat geformuleerd is binnen artikel 144, artikel 146 en artikel 1475 oud BW, de grondvoorwaarden van zowel het huwelijk als de wettelijke samenwoning, </w:t>
      </w:r>
      <w:r>
        <w:rPr>
          <w:lang w:val="nl-NL"/>
        </w:rPr>
        <w:t xml:space="preserve">de relatievorm van bepaalde duur, namelijk </w:t>
      </w:r>
      <w:r w:rsidRPr="00D36079">
        <w:rPr>
          <w:lang w:val="nl-NL"/>
        </w:rPr>
        <w:t>het huwelijk en de wettelijke samenwoning van bepaalde duur niet in de weg staan. Zodra er voldaan is aan de grondvoorwaarden voor het huwelijk en de wettelijke samenwoning van onbepaalde duur, zal er ook voldaan zijn aan de grondvoorwaarden voor het huwelijk en de wettelijke samenwoning van bepaalde duur.</w:t>
      </w:r>
    </w:p>
    <w:p w14:paraId="1EA3AC56" w14:textId="77777777" w:rsidR="00BD18A3" w:rsidRPr="00D36079" w:rsidRDefault="00BD18A3" w:rsidP="00BD18A3">
      <w:pPr>
        <w:pStyle w:val="Kop3"/>
        <w:numPr>
          <w:ilvl w:val="0"/>
          <w:numId w:val="5"/>
        </w:numPr>
        <w:ind w:left="426"/>
        <w:rPr>
          <w:lang w:val="nl-NL"/>
        </w:rPr>
      </w:pPr>
      <w:bookmarkStart w:id="36" w:name="_Toc167990458"/>
      <w:r>
        <w:rPr>
          <w:lang w:val="nl-NL"/>
        </w:rPr>
        <w:t>Vereisten</w:t>
      </w:r>
      <w:bookmarkEnd w:id="36"/>
    </w:p>
    <w:p w14:paraId="08172993" w14:textId="77777777" w:rsidR="00BD18A3" w:rsidRDefault="00BD18A3" w:rsidP="00BD18A3">
      <w:pPr>
        <w:pStyle w:val="Lijstalinea"/>
        <w:numPr>
          <w:ilvl w:val="0"/>
          <w:numId w:val="26"/>
        </w:numPr>
        <w:ind w:left="0" w:firstLine="0"/>
        <w:rPr>
          <w:lang w:val="nl-NL"/>
        </w:rPr>
      </w:pPr>
      <w:r>
        <w:rPr>
          <w:lang w:val="nl-NL"/>
        </w:rPr>
        <w:t xml:space="preserve">Voor </w:t>
      </w:r>
      <w:r w:rsidRPr="00D36079">
        <w:rPr>
          <w:lang w:val="nl-NL"/>
        </w:rPr>
        <w:t xml:space="preserve">het huwelijk is vereist dat dit instituut wordt gekenmerkt door: de </w:t>
      </w:r>
      <w:r w:rsidRPr="00D36079">
        <w:rPr>
          <w:i/>
          <w:iCs/>
          <w:lang w:val="nl-NL"/>
        </w:rPr>
        <w:t>geïnstitutionaliseerde</w:t>
      </w:r>
      <w:r w:rsidRPr="00D36079">
        <w:rPr>
          <w:lang w:val="nl-NL"/>
        </w:rPr>
        <w:t xml:space="preserve"> vorm, dewelke op </w:t>
      </w:r>
      <w:r w:rsidRPr="00D36079">
        <w:rPr>
          <w:i/>
          <w:iCs/>
          <w:lang w:val="nl-NL"/>
        </w:rPr>
        <w:t>seksualiteit</w:t>
      </w:r>
      <w:r w:rsidRPr="00D36079">
        <w:rPr>
          <w:lang w:val="nl-NL"/>
        </w:rPr>
        <w:t xml:space="preserve"> gebaseerd is,</w:t>
      </w:r>
      <w:r>
        <w:rPr>
          <w:lang w:val="nl-NL"/>
        </w:rPr>
        <w:t xml:space="preserve"> </w:t>
      </w:r>
      <w:r w:rsidRPr="00D36079">
        <w:rPr>
          <w:lang w:val="nl-NL"/>
        </w:rPr>
        <w:t xml:space="preserve">waarin </w:t>
      </w:r>
      <w:r w:rsidRPr="00D36079">
        <w:rPr>
          <w:i/>
          <w:iCs/>
          <w:lang w:val="nl-NL"/>
        </w:rPr>
        <w:t xml:space="preserve">exclusiviteit </w:t>
      </w:r>
      <w:r w:rsidRPr="00D36079">
        <w:rPr>
          <w:lang w:val="nl-NL"/>
        </w:rPr>
        <w:t xml:space="preserve">tussen de </w:t>
      </w:r>
      <w:r>
        <w:rPr>
          <w:lang w:val="nl-NL"/>
        </w:rPr>
        <w:t xml:space="preserve">twee </w:t>
      </w:r>
      <w:r w:rsidRPr="00D36079">
        <w:rPr>
          <w:lang w:val="nl-NL"/>
        </w:rPr>
        <w:t>partners speelt</w:t>
      </w:r>
      <w:r>
        <w:rPr>
          <w:lang w:val="nl-NL"/>
        </w:rPr>
        <w:t xml:space="preserve">, </w:t>
      </w:r>
      <w:r w:rsidRPr="00D36079">
        <w:rPr>
          <w:lang w:val="nl-NL"/>
        </w:rPr>
        <w:t xml:space="preserve">dat een </w:t>
      </w:r>
      <w:r w:rsidRPr="00D36079">
        <w:rPr>
          <w:i/>
          <w:iCs/>
          <w:lang w:val="nl-NL"/>
        </w:rPr>
        <w:t>bestendige</w:t>
      </w:r>
      <w:r w:rsidRPr="00D36079">
        <w:rPr>
          <w:lang w:val="nl-NL"/>
        </w:rPr>
        <w:t xml:space="preserve"> </w:t>
      </w:r>
      <w:r w:rsidRPr="007E5CCD">
        <w:rPr>
          <w:i/>
          <w:iCs/>
          <w:lang w:val="nl-NL"/>
        </w:rPr>
        <w:t>levensgemeenschap</w:t>
      </w:r>
      <w:r w:rsidRPr="00D36079">
        <w:rPr>
          <w:lang w:val="nl-NL"/>
        </w:rPr>
        <w:t xml:space="preserve"> inhoudt</w:t>
      </w:r>
      <w:r>
        <w:rPr>
          <w:lang w:val="nl-NL"/>
        </w:rPr>
        <w:t xml:space="preserve"> </w:t>
      </w:r>
      <w:r w:rsidRPr="00D36079">
        <w:rPr>
          <w:lang w:val="nl-NL"/>
        </w:rPr>
        <w:t xml:space="preserve">en dat strikt </w:t>
      </w:r>
      <w:r w:rsidRPr="00D36079">
        <w:rPr>
          <w:i/>
          <w:iCs/>
          <w:lang w:val="nl-NL"/>
        </w:rPr>
        <w:t>contractueel</w:t>
      </w:r>
      <w:r w:rsidRPr="00D36079">
        <w:rPr>
          <w:lang w:val="nl-NL"/>
        </w:rPr>
        <w:t xml:space="preserve"> tot stand komt.</w:t>
      </w:r>
      <w:r>
        <w:rPr>
          <w:rStyle w:val="Voetnootmarkering"/>
          <w:lang w:val="nl-NL"/>
        </w:rPr>
        <w:footnoteReference w:id="71"/>
      </w:r>
    </w:p>
    <w:p w14:paraId="7BA2A711" w14:textId="77777777" w:rsidR="00BD18A3" w:rsidRDefault="00BD18A3" w:rsidP="00BD18A3">
      <w:pPr>
        <w:pStyle w:val="Lijstalinea"/>
        <w:rPr>
          <w:lang w:val="nl-NL"/>
        </w:rPr>
      </w:pPr>
    </w:p>
    <w:p w14:paraId="29F03FFF" w14:textId="77777777" w:rsidR="00BD18A3" w:rsidRPr="007E5CCD" w:rsidRDefault="00BD18A3" w:rsidP="00BD18A3">
      <w:pPr>
        <w:pStyle w:val="Lijstalinea"/>
        <w:numPr>
          <w:ilvl w:val="0"/>
          <w:numId w:val="26"/>
        </w:numPr>
        <w:ind w:left="0" w:firstLine="0"/>
        <w:rPr>
          <w:lang w:val="nl-NL"/>
        </w:rPr>
      </w:pPr>
      <w:r>
        <w:rPr>
          <w:lang w:val="nl-NL"/>
        </w:rPr>
        <w:lastRenderedPageBreak/>
        <w:t xml:space="preserve">De wettelijke samenwoning vereist: tevens de </w:t>
      </w:r>
      <w:r w:rsidRPr="00D36079">
        <w:rPr>
          <w:i/>
          <w:iCs/>
          <w:lang w:val="nl-NL"/>
        </w:rPr>
        <w:t>geïnstitutionaliseerde</w:t>
      </w:r>
      <w:r w:rsidRPr="00D36079">
        <w:rPr>
          <w:lang w:val="nl-NL"/>
        </w:rPr>
        <w:t xml:space="preserve"> vorm</w:t>
      </w:r>
      <w:r>
        <w:rPr>
          <w:lang w:val="nl-NL"/>
        </w:rPr>
        <w:t xml:space="preserve">, dewelke al dan niet op </w:t>
      </w:r>
      <w:r w:rsidRPr="009D7523">
        <w:rPr>
          <w:i/>
          <w:iCs/>
          <w:lang w:val="nl-NL"/>
        </w:rPr>
        <w:t>seksualiteit</w:t>
      </w:r>
      <w:r>
        <w:rPr>
          <w:lang w:val="nl-NL"/>
        </w:rPr>
        <w:t xml:space="preserve"> en </w:t>
      </w:r>
      <w:r>
        <w:rPr>
          <w:i/>
          <w:iCs/>
          <w:lang w:val="nl-NL"/>
        </w:rPr>
        <w:t xml:space="preserve">exclusiviteit </w:t>
      </w:r>
      <w:r>
        <w:rPr>
          <w:lang w:val="nl-NL"/>
        </w:rPr>
        <w:t xml:space="preserve">gesteund is, die een </w:t>
      </w:r>
      <w:r w:rsidRPr="007E5CCD">
        <w:rPr>
          <w:i/>
          <w:iCs/>
          <w:lang w:val="nl-NL"/>
        </w:rPr>
        <w:t xml:space="preserve">levensgemeenschap </w:t>
      </w:r>
      <w:r w:rsidRPr="006F3BC5">
        <w:rPr>
          <w:lang w:val="nl-NL"/>
        </w:rPr>
        <w:t>tussen twee personen</w:t>
      </w:r>
      <w:r>
        <w:rPr>
          <w:lang w:val="nl-NL"/>
        </w:rPr>
        <w:t xml:space="preserve"> inhoudt, dat ook strikt </w:t>
      </w:r>
      <w:r w:rsidRPr="009D7523">
        <w:rPr>
          <w:i/>
          <w:iCs/>
          <w:lang w:val="nl-NL"/>
        </w:rPr>
        <w:t xml:space="preserve">contractueel </w:t>
      </w:r>
      <w:r>
        <w:rPr>
          <w:lang w:val="nl-NL"/>
        </w:rPr>
        <w:t>tot stand komt.</w:t>
      </w:r>
      <w:r>
        <w:rPr>
          <w:rStyle w:val="Voetnootmarkering"/>
          <w:lang w:val="nl-NL"/>
        </w:rPr>
        <w:footnoteReference w:id="72"/>
      </w:r>
    </w:p>
    <w:p w14:paraId="00D3E731" w14:textId="77777777" w:rsidR="00BD18A3" w:rsidRPr="00D36079" w:rsidRDefault="00BD18A3" w:rsidP="00BD18A3">
      <w:pPr>
        <w:pStyle w:val="Kop4"/>
        <w:numPr>
          <w:ilvl w:val="0"/>
          <w:numId w:val="30"/>
        </w:numPr>
        <w:rPr>
          <w:lang w:val="nl-NL"/>
        </w:rPr>
      </w:pPr>
      <w:bookmarkStart w:id="37" w:name="_Toc167990459"/>
      <w:r>
        <w:rPr>
          <w:lang w:val="nl-NL"/>
        </w:rPr>
        <w:t>Institutionalisering</w:t>
      </w:r>
      <w:bookmarkEnd w:id="37"/>
    </w:p>
    <w:p w14:paraId="5C58F633" w14:textId="77777777" w:rsidR="00BD18A3" w:rsidRDefault="00BD18A3" w:rsidP="00BD18A3">
      <w:pPr>
        <w:pStyle w:val="Lijstalinea"/>
        <w:numPr>
          <w:ilvl w:val="0"/>
          <w:numId w:val="26"/>
        </w:numPr>
        <w:ind w:left="0" w:firstLine="0"/>
        <w:rPr>
          <w:lang w:val="nl-NL"/>
        </w:rPr>
      </w:pPr>
      <w:r w:rsidRPr="00D36079">
        <w:rPr>
          <w:lang w:val="nl-NL"/>
        </w:rPr>
        <w:t>Het eerste kenmerk van het huwelijk</w:t>
      </w:r>
      <w:r>
        <w:rPr>
          <w:lang w:val="nl-NL"/>
        </w:rPr>
        <w:t xml:space="preserve"> en de wettelijke samenwoning</w:t>
      </w:r>
      <w:r w:rsidRPr="00D36079">
        <w:rPr>
          <w:lang w:val="nl-NL"/>
        </w:rPr>
        <w:t xml:space="preserve"> benadrukt de g</w:t>
      </w:r>
      <w:r w:rsidRPr="00D36079">
        <w:rPr>
          <w:i/>
          <w:iCs/>
          <w:lang w:val="nl-NL"/>
        </w:rPr>
        <w:t>eïnstitutionaliseerde</w:t>
      </w:r>
      <w:r w:rsidRPr="00D36079">
        <w:rPr>
          <w:lang w:val="nl-NL"/>
        </w:rPr>
        <w:t xml:space="preserve"> vorm </w:t>
      </w:r>
      <w:r>
        <w:rPr>
          <w:lang w:val="nl-NL"/>
        </w:rPr>
        <w:t>ervan</w:t>
      </w:r>
      <w:r w:rsidRPr="00D36079">
        <w:rPr>
          <w:lang w:val="nl-NL"/>
        </w:rPr>
        <w:t>. Een geïnstitutionaliseerde vorm van menselijke samenleving onderscheidt zich van het concubinaat</w:t>
      </w:r>
      <w:r>
        <w:rPr>
          <w:lang w:val="nl-NL"/>
        </w:rPr>
        <w:t>, de louter feitelijke samenwoning</w:t>
      </w:r>
      <w:r w:rsidRPr="00D36079">
        <w:rPr>
          <w:lang w:val="nl-NL"/>
        </w:rPr>
        <w:t>. Het huwelijk</w:t>
      </w:r>
      <w:r>
        <w:rPr>
          <w:lang w:val="nl-NL"/>
        </w:rPr>
        <w:t xml:space="preserve"> en de wettelijke samenwoning</w:t>
      </w:r>
      <w:r w:rsidRPr="00D36079">
        <w:rPr>
          <w:lang w:val="nl-NL"/>
        </w:rPr>
        <w:t xml:space="preserve"> </w:t>
      </w:r>
      <w:r>
        <w:rPr>
          <w:lang w:val="nl-NL"/>
        </w:rPr>
        <w:t>is</w:t>
      </w:r>
      <w:r w:rsidRPr="00D36079">
        <w:rPr>
          <w:lang w:val="nl-NL"/>
        </w:rPr>
        <w:t xml:space="preserve"> namelijk niet louter het registreren van een samenleving tussen twee personen.</w:t>
      </w:r>
      <w:r>
        <w:rPr>
          <w:rStyle w:val="Voetnootmarkering"/>
          <w:lang w:val="nl-NL"/>
        </w:rPr>
        <w:footnoteReference w:id="73"/>
      </w:r>
      <w:r w:rsidRPr="00D36079">
        <w:rPr>
          <w:lang w:val="nl-NL"/>
        </w:rPr>
        <w:t xml:space="preserve"> Aangezien het huwelijk</w:t>
      </w:r>
      <w:r>
        <w:rPr>
          <w:lang w:val="nl-NL"/>
        </w:rPr>
        <w:t xml:space="preserve"> en de wettelijke samenwoning</w:t>
      </w:r>
      <w:r w:rsidRPr="00D36079">
        <w:rPr>
          <w:lang w:val="nl-NL"/>
        </w:rPr>
        <w:t xml:space="preserve"> van bepaalde duur, net als het huwelijk</w:t>
      </w:r>
      <w:r>
        <w:rPr>
          <w:lang w:val="nl-NL"/>
        </w:rPr>
        <w:t xml:space="preserve"> en de wettelijke samenwoning</w:t>
      </w:r>
      <w:r w:rsidRPr="00D36079">
        <w:rPr>
          <w:lang w:val="nl-NL"/>
        </w:rPr>
        <w:t xml:space="preserve"> van onbepaalde duur, rechten en plichten kent, is er sprake van een instituut. Hierdoor onderscheidt het zich van het concubinaat. Er kan dus gesteld worden dat het huwelijk</w:t>
      </w:r>
      <w:r>
        <w:rPr>
          <w:lang w:val="nl-NL"/>
        </w:rPr>
        <w:t xml:space="preserve"> en de wettelijke samenwoning</w:t>
      </w:r>
      <w:r w:rsidRPr="00D36079">
        <w:rPr>
          <w:lang w:val="nl-NL"/>
        </w:rPr>
        <w:t xml:space="preserve"> van bepaalde duur voldoet aan het kenmerk van institutionalisering.</w:t>
      </w:r>
    </w:p>
    <w:p w14:paraId="5BE9F398" w14:textId="77777777" w:rsidR="00BD18A3" w:rsidRPr="00D36079" w:rsidRDefault="00BD18A3" w:rsidP="00BD18A3">
      <w:pPr>
        <w:pStyle w:val="Kop4"/>
        <w:numPr>
          <w:ilvl w:val="0"/>
          <w:numId w:val="30"/>
        </w:numPr>
        <w:rPr>
          <w:lang w:val="nl-NL"/>
        </w:rPr>
      </w:pPr>
      <w:bookmarkStart w:id="38" w:name="_Toc167990460"/>
      <w:r>
        <w:rPr>
          <w:lang w:val="nl-NL"/>
        </w:rPr>
        <w:t>Seksualiteit</w:t>
      </w:r>
      <w:bookmarkEnd w:id="38"/>
    </w:p>
    <w:p w14:paraId="3932F732" w14:textId="77777777" w:rsidR="00BD18A3" w:rsidRPr="00B8141D" w:rsidRDefault="00BD18A3" w:rsidP="00BD18A3">
      <w:pPr>
        <w:pStyle w:val="Lijstalinea"/>
        <w:numPr>
          <w:ilvl w:val="0"/>
          <w:numId w:val="26"/>
        </w:numPr>
        <w:ind w:left="0" w:firstLine="0"/>
        <w:rPr>
          <w:lang w:val="nl-NL"/>
        </w:rPr>
      </w:pPr>
      <w:r w:rsidRPr="00D36079">
        <w:rPr>
          <w:lang w:val="nl-NL"/>
        </w:rPr>
        <w:t xml:space="preserve">Het tweede kenmerk richt zich op de </w:t>
      </w:r>
      <w:r w:rsidRPr="00D36079">
        <w:rPr>
          <w:i/>
          <w:iCs/>
          <w:lang w:val="nl-NL"/>
        </w:rPr>
        <w:t>seksualiteit</w:t>
      </w:r>
      <w:r w:rsidRPr="00D36079">
        <w:rPr>
          <w:lang w:val="nl-NL"/>
        </w:rPr>
        <w:t xml:space="preserve"> waarop de relatievorm van het huwelijk gebaseerd is. Dit maakt dat het huwelijk niet open staat voor degenen die</w:t>
      </w:r>
      <w:r>
        <w:rPr>
          <w:lang w:val="nl-NL"/>
        </w:rPr>
        <w:t>,</w:t>
      </w:r>
      <w:r w:rsidRPr="00D36079">
        <w:rPr>
          <w:lang w:val="nl-NL"/>
        </w:rPr>
        <w:t xml:space="preserve"> wegens te nauwe verwantschap, geen seksuele omgang met elkaar behoren te hebben.</w:t>
      </w:r>
      <w:r>
        <w:rPr>
          <w:rStyle w:val="Voetnootmarkering"/>
          <w:lang w:val="nl-NL"/>
        </w:rPr>
        <w:footnoteReference w:id="74"/>
      </w:r>
      <w:r w:rsidRPr="00D36079">
        <w:rPr>
          <w:lang w:val="nl-NL"/>
        </w:rPr>
        <w:t xml:space="preserve"> </w:t>
      </w:r>
      <w:r w:rsidRPr="00B8141D">
        <w:rPr>
          <w:lang w:val="nl-NL"/>
        </w:rPr>
        <w:t xml:space="preserve">Er is geen enkele reden om aan te nemen dat </w:t>
      </w:r>
      <w:r>
        <w:rPr>
          <w:lang w:val="nl-NL"/>
        </w:rPr>
        <w:t xml:space="preserve">de invulling van </w:t>
      </w:r>
      <w:r w:rsidRPr="00B8141D">
        <w:rPr>
          <w:lang w:val="nl-NL"/>
        </w:rPr>
        <w:t xml:space="preserve">het kenmerk van de seksualiteit voor het huwelijk van bepaalde duur anders is. Hierdoor kan worden geconcludeerd dat ook in het huwelijk van bepaalde duur </w:t>
      </w:r>
      <w:r>
        <w:rPr>
          <w:lang w:val="nl-NL"/>
        </w:rPr>
        <w:t xml:space="preserve">de vereiste van </w:t>
      </w:r>
      <w:r w:rsidRPr="00B8141D">
        <w:rPr>
          <w:lang w:val="nl-NL"/>
        </w:rPr>
        <w:t>seksualiteit speelt.</w:t>
      </w:r>
    </w:p>
    <w:p w14:paraId="7341FEFF" w14:textId="77777777" w:rsidR="00BD18A3" w:rsidRDefault="00BD18A3" w:rsidP="00BD18A3">
      <w:pPr>
        <w:pStyle w:val="Lijstalinea"/>
        <w:rPr>
          <w:lang w:val="nl-NL"/>
        </w:rPr>
      </w:pPr>
    </w:p>
    <w:p w14:paraId="45E06191" w14:textId="77777777" w:rsidR="00BD18A3" w:rsidRDefault="00BD18A3" w:rsidP="00BD18A3">
      <w:pPr>
        <w:pStyle w:val="Lijstalinea"/>
        <w:numPr>
          <w:ilvl w:val="0"/>
          <w:numId w:val="26"/>
        </w:numPr>
        <w:ind w:left="0" w:firstLine="0"/>
        <w:rPr>
          <w:lang w:val="nl-NL"/>
        </w:rPr>
      </w:pPr>
      <w:r>
        <w:rPr>
          <w:lang w:val="nl-NL"/>
        </w:rPr>
        <w:t xml:space="preserve">Het kenmerk van de </w:t>
      </w:r>
      <w:r w:rsidRPr="00AE68D3">
        <w:rPr>
          <w:i/>
          <w:iCs/>
          <w:lang w:val="nl-NL"/>
        </w:rPr>
        <w:t>seksualiteit</w:t>
      </w:r>
      <w:r>
        <w:rPr>
          <w:lang w:val="nl-NL"/>
        </w:rPr>
        <w:t xml:space="preserve"> speelt geen rol voor de wettelijke samenwoning, aangezien de wettelijke samenwoning seksueel neutraal is. Dit houdt in dat de aanwezigheid van een seksuele component onverschillig is. De wettelijke samenwoning staat immers ook open voor nauwe verwanten en vrienden.</w:t>
      </w:r>
      <w:r>
        <w:rPr>
          <w:rStyle w:val="Voetnootmarkering"/>
          <w:lang w:val="nl-NL"/>
        </w:rPr>
        <w:footnoteReference w:id="75"/>
      </w:r>
    </w:p>
    <w:p w14:paraId="4C0BC4ED" w14:textId="77777777" w:rsidR="00BD18A3" w:rsidRDefault="00BD18A3" w:rsidP="00BD18A3">
      <w:pPr>
        <w:pStyle w:val="Kop4"/>
        <w:numPr>
          <w:ilvl w:val="0"/>
          <w:numId w:val="30"/>
        </w:numPr>
        <w:rPr>
          <w:lang w:val="nl-NL"/>
        </w:rPr>
      </w:pPr>
      <w:bookmarkStart w:id="39" w:name="_Toc167990461"/>
      <w:r>
        <w:rPr>
          <w:lang w:val="nl-NL"/>
        </w:rPr>
        <w:t>Exclusiviteit</w:t>
      </w:r>
      <w:bookmarkEnd w:id="39"/>
    </w:p>
    <w:p w14:paraId="7A8E9C59" w14:textId="77777777" w:rsidR="00BD18A3" w:rsidRDefault="00BD18A3" w:rsidP="00BD18A3">
      <w:pPr>
        <w:pStyle w:val="Lijstalinea"/>
        <w:numPr>
          <w:ilvl w:val="0"/>
          <w:numId w:val="26"/>
        </w:numPr>
        <w:ind w:left="0" w:firstLine="0"/>
        <w:rPr>
          <w:lang w:val="nl-NL"/>
        </w:rPr>
      </w:pPr>
      <w:r>
        <w:rPr>
          <w:lang w:val="nl-NL"/>
        </w:rPr>
        <w:t xml:space="preserve">Aangezien het huwelijk een samenlevingsvorm tussen twee personen is, staat de </w:t>
      </w:r>
      <w:r>
        <w:rPr>
          <w:i/>
          <w:iCs/>
          <w:lang w:val="nl-NL"/>
        </w:rPr>
        <w:t xml:space="preserve">exclusiviteit </w:t>
      </w:r>
      <w:r>
        <w:rPr>
          <w:lang w:val="nl-NL"/>
        </w:rPr>
        <w:t>van de partners tegenover elkaar binnen de relatie</w:t>
      </w:r>
      <w:r>
        <w:rPr>
          <w:i/>
          <w:iCs/>
          <w:lang w:val="nl-NL"/>
        </w:rPr>
        <w:t xml:space="preserve"> </w:t>
      </w:r>
      <w:r>
        <w:rPr>
          <w:lang w:val="nl-NL"/>
        </w:rPr>
        <w:t xml:space="preserve">voorop. De monogamie is </w:t>
      </w:r>
      <w:r>
        <w:rPr>
          <w:lang w:val="nl-NL"/>
        </w:rPr>
        <w:lastRenderedPageBreak/>
        <w:t>namelijk een uitvloeisel van een meer dan tweeduizend jaar oude traditie, dat kenmerkend is voor alle Europese en andere westerse rechtsstelsels.</w:t>
      </w:r>
      <w:r>
        <w:rPr>
          <w:rStyle w:val="Voetnootmarkering"/>
          <w:lang w:val="nl-NL"/>
        </w:rPr>
        <w:footnoteReference w:id="76"/>
      </w:r>
    </w:p>
    <w:p w14:paraId="4C1103E2" w14:textId="77777777" w:rsidR="00BD18A3" w:rsidRDefault="00BD18A3" w:rsidP="00BD18A3">
      <w:pPr>
        <w:pStyle w:val="Lijstalinea"/>
        <w:rPr>
          <w:lang w:val="nl-NL"/>
        </w:rPr>
      </w:pPr>
    </w:p>
    <w:p w14:paraId="43CED130" w14:textId="77777777" w:rsidR="00BD18A3" w:rsidRPr="001D2800" w:rsidRDefault="00BD18A3" w:rsidP="00BD18A3">
      <w:pPr>
        <w:pStyle w:val="Lijstalinea"/>
        <w:numPr>
          <w:ilvl w:val="0"/>
          <w:numId w:val="26"/>
        </w:numPr>
        <w:ind w:left="0" w:firstLine="0"/>
        <w:rPr>
          <w:lang w:val="nl-NL"/>
        </w:rPr>
      </w:pPr>
      <w:r>
        <w:rPr>
          <w:lang w:val="nl-NL"/>
        </w:rPr>
        <w:t xml:space="preserve">Binnen de wettelijke samenwoning geldt de </w:t>
      </w:r>
      <w:r w:rsidRPr="00AE68D3">
        <w:rPr>
          <w:i/>
          <w:iCs/>
          <w:lang w:val="nl-NL"/>
        </w:rPr>
        <w:t xml:space="preserve">exclusiviteit </w:t>
      </w:r>
      <w:r>
        <w:rPr>
          <w:lang w:val="nl-NL"/>
        </w:rPr>
        <w:t>van de partners tegenover elkaar enkel op het vlak van bepaalde vermogensrechtelijke verhoudingen. De beperking van de relatievorm tot twee personen blijft overigens wel staande. Deze beperking van het toepassingsgebied werd ingegeven door de overweging dat er (destijds) geen maatschappelijk behoefte bestaat aan een wettelijke organisatie van relatievorm met meer dan twee personen.</w:t>
      </w:r>
      <w:r>
        <w:rPr>
          <w:rStyle w:val="Voetnootmarkering"/>
          <w:lang w:val="nl-NL"/>
        </w:rPr>
        <w:footnoteReference w:id="77"/>
      </w:r>
    </w:p>
    <w:p w14:paraId="703C0157" w14:textId="77777777" w:rsidR="00BD18A3" w:rsidRPr="00D36079" w:rsidRDefault="00BD18A3" w:rsidP="00BD18A3">
      <w:pPr>
        <w:pStyle w:val="Kop4"/>
        <w:numPr>
          <w:ilvl w:val="0"/>
          <w:numId w:val="30"/>
        </w:numPr>
        <w:rPr>
          <w:lang w:val="nl-NL"/>
        </w:rPr>
      </w:pPr>
      <w:bookmarkStart w:id="40" w:name="_Toc167990462"/>
      <w:r>
        <w:rPr>
          <w:lang w:val="nl-NL"/>
        </w:rPr>
        <w:t>Levensgemeenschap</w:t>
      </w:r>
      <w:bookmarkEnd w:id="40"/>
    </w:p>
    <w:p w14:paraId="490C5DD1" w14:textId="77777777" w:rsidR="00BD18A3" w:rsidRPr="007E5CCD" w:rsidRDefault="00BD18A3" w:rsidP="00BD18A3">
      <w:pPr>
        <w:pStyle w:val="Lijstalinea"/>
        <w:numPr>
          <w:ilvl w:val="0"/>
          <w:numId w:val="26"/>
        </w:numPr>
        <w:ind w:left="0" w:firstLine="0"/>
        <w:rPr>
          <w:lang w:val="nl-NL"/>
        </w:rPr>
      </w:pPr>
      <w:r w:rsidRPr="00D36079">
        <w:rPr>
          <w:lang w:val="nl-NL"/>
        </w:rPr>
        <w:t xml:space="preserve">Het </w:t>
      </w:r>
      <w:r>
        <w:rPr>
          <w:lang w:val="nl-NL"/>
        </w:rPr>
        <w:t>vierde</w:t>
      </w:r>
      <w:r w:rsidRPr="00D36079">
        <w:rPr>
          <w:lang w:val="nl-NL"/>
        </w:rPr>
        <w:t xml:space="preserve"> kenmerk raakt aan de niet louter juridische band tussen partners, waar rechten en plichten aan verbonden zijn, maar</w:t>
      </w:r>
      <w:r>
        <w:rPr>
          <w:lang w:val="nl-NL"/>
        </w:rPr>
        <w:t xml:space="preserve"> legt</w:t>
      </w:r>
      <w:r w:rsidRPr="00D36079">
        <w:rPr>
          <w:lang w:val="nl-NL"/>
        </w:rPr>
        <w:t xml:space="preserve"> hen bovendien een </w:t>
      </w:r>
      <w:r w:rsidRPr="00D36079">
        <w:rPr>
          <w:i/>
          <w:iCs/>
          <w:lang w:val="nl-NL"/>
        </w:rPr>
        <w:t>levensgemeenschap</w:t>
      </w:r>
      <w:r w:rsidRPr="00D36079">
        <w:rPr>
          <w:lang w:val="nl-NL"/>
        </w:rPr>
        <w:t xml:space="preserve"> op.</w:t>
      </w:r>
      <w:r>
        <w:rPr>
          <w:lang w:val="nl-NL"/>
        </w:rPr>
        <w:t xml:space="preserve"> Dit kenmerk geldt zowel voor het huwelijk als de</w:t>
      </w:r>
      <w:r w:rsidRPr="00D36079">
        <w:rPr>
          <w:lang w:val="nl-NL"/>
        </w:rPr>
        <w:t xml:space="preserve"> wettelijke samenwoning.</w:t>
      </w:r>
      <w:r>
        <w:rPr>
          <w:rStyle w:val="Voetnootmarkering"/>
          <w:lang w:val="nl-NL"/>
        </w:rPr>
        <w:footnoteReference w:id="78"/>
      </w:r>
      <w:r w:rsidRPr="00D36079">
        <w:rPr>
          <w:lang w:val="nl-NL"/>
        </w:rPr>
        <w:t xml:space="preserve"> Het kenmerk van de organisatie van een levensgemeenschap is binnen de huidige opvatting een cruciaal element. Dit was echter niet altijd historisch gezien de meerderheidsopvatting. Er heeft zich namelijk een evolutie voltrokken waarbij de nadruk van de relatievorm niet zozeer meer ligt op het bestaan van een affectief-seksuele relatie, waarbij het doel voortplanting was, maar hedendaags de klemtoon ligt op het bestaan van een levensgemeenschap.</w:t>
      </w:r>
      <w:r w:rsidRPr="00A3131B">
        <w:rPr>
          <w:rStyle w:val="Voetnootmarkering"/>
          <w:lang w:val="nl-NL"/>
        </w:rPr>
        <w:footnoteReference w:id="79"/>
      </w:r>
      <w:r w:rsidRPr="00D36079">
        <w:rPr>
          <w:lang w:val="nl-NL"/>
        </w:rPr>
        <w:t xml:space="preserve"> De organisatie van een levensgemeenschap behoort tot de kerndoelstelling van het huwelijk en de wettelijke samenwoning.</w:t>
      </w:r>
      <w:r>
        <w:rPr>
          <w:rStyle w:val="Voetnootmarkering"/>
          <w:lang w:val="nl-NL"/>
        </w:rPr>
        <w:footnoteReference w:id="80"/>
      </w:r>
      <w:r w:rsidRPr="00D36079">
        <w:rPr>
          <w:lang w:val="nl-NL"/>
        </w:rPr>
        <w:t xml:space="preserve"> Het huwelijk</w:t>
      </w:r>
      <w:r>
        <w:rPr>
          <w:lang w:val="nl-NL"/>
        </w:rPr>
        <w:t xml:space="preserve"> en de wettelijke samenwoning</w:t>
      </w:r>
      <w:r w:rsidRPr="00D36079">
        <w:rPr>
          <w:lang w:val="nl-NL"/>
        </w:rPr>
        <w:t xml:space="preserve"> van bepaalde duur creëert dezelfde rechten en plichten als voor een </w:t>
      </w:r>
      <w:r>
        <w:rPr>
          <w:lang w:val="nl-NL"/>
        </w:rPr>
        <w:t>relatievorm</w:t>
      </w:r>
      <w:r w:rsidRPr="00D36079">
        <w:rPr>
          <w:lang w:val="nl-NL"/>
        </w:rPr>
        <w:t xml:space="preserve"> van onbepaalde duur. Hierdoor kan worden gesteld dat er sprake is van een niet louter juridische band, maar een daadwerkelijke levensgemeenschap.</w:t>
      </w:r>
    </w:p>
    <w:p w14:paraId="7A77F476" w14:textId="77777777" w:rsidR="00BD18A3" w:rsidRPr="00D36079" w:rsidRDefault="00BD18A3" w:rsidP="00BD18A3">
      <w:pPr>
        <w:pStyle w:val="Kop4"/>
        <w:numPr>
          <w:ilvl w:val="0"/>
          <w:numId w:val="30"/>
        </w:numPr>
        <w:rPr>
          <w:lang w:val="nl-NL"/>
        </w:rPr>
      </w:pPr>
      <w:bookmarkStart w:id="41" w:name="_Toc167990463"/>
      <w:r>
        <w:rPr>
          <w:lang w:val="nl-NL"/>
        </w:rPr>
        <w:t>Bestendigheid</w:t>
      </w:r>
      <w:bookmarkEnd w:id="41"/>
    </w:p>
    <w:p w14:paraId="66EA5564" w14:textId="77777777" w:rsidR="00BD18A3" w:rsidRPr="00D36079" w:rsidRDefault="00BD18A3" w:rsidP="00BD18A3">
      <w:pPr>
        <w:pStyle w:val="Lijstalinea"/>
        <w:numPr>
          <w:ilvl w:val="0"/>
          <w:numId w:val="26"/>
        </w:numPr>
        <w:ind w:left="0" w:firstLine="0"/>
        <w:rPr>
          <w:lang w:val="nl-NL"/>
        </w:rPr>
      </w:pPr>
      <w:r w:rsidRPr="00D36079">
        <w:rPr>
          <w:lang w:val="nl-NL"/>
        </w:rPr>
        <w:t>Het vi</w:t>
      </w:r>
      <w:r>
        <w:rPr>
          <w:lang w:val="nl-NL"/>
        </w:rPr>
        <w:t>jfde</w:t>
      </w:r>
      <w:r w:rsidRPr="00D36079">
        <w:rPr>
          <w:lang w:val="nl-NL"/>
        </w:rPr>
        <w:t xml:space="preserve"> kenmerk wijst op de </w:t>
      </w:r>
      <w:r w:rsidRPr="00D36079">
        <w:rPr>
          <w:i/>
          <w:iCs/>
          <w:lang w:val="nl-NL"/>
        </w:rPr>
        <w:t>bestendigheid</w:t>
      </w:r>
      <w:r w:rsidRPr="00D36079">
        <w:rPr>
          <w:lang w:val="nl-NL"/>
        </w:rPr>
        <w:t xml:space="preserve"> of duurzaamheid van het instituut</w:t>
      </w:r>
      <w:r>
        <w:rPr>
          <w:lang w:val="nl-NL"/>
        </w:rPr>
        <w:t xml:space="preserve"> van het huwelijk</w:t>
      </w:r>
      <w:r w:rsidRPr="00D36079">
        <w:rPr>
          <w:lang w:val="nl-NL"/>
        </w:rPr>
        <w:t>.</w:t>
      </w:r>
      <w:r>
        <w:rPr>
          <w:rStyle w:val="Voetnootmarkering"/>
          <w:lang w:val="nl-NL"/>
        </w:rPr>
        <w:footnoteReference w:id="81"/>
      </w:r>
      <w:r w:rsidRPr="00D36079">
        <w:rPr>
          <w:lang w:val="nl-NL"/>
        </w:rPr>
        <w:t xml:space="preserve"> Er is namelijk geen huwelijk wanneer de intentie van minstens één van de echtgenoten kennelijk niet is gericht op het tot stand brengen van een duurzame (bestendige) levensgemeenschap.</w:t>
      </w:r>
      <w:r>
        <w:rPr>
          <w:rStyle w:val="Voetnootmarkering"/>
          <w:lang w:val="nl-NL"/>
        </w:rPr>
        <w:footnoteReference w:id="82"/>
      </w:r>
      <w:r w:rsidRPr="00D36079">
        <w:rPr>
          <w:lang w:val="nl-NL"/>
        </w:rPr>
        <w:t xml:space="preserve"> Het belang van de voorwaarde van een levensgemeenschap, gekoppeld aan het bestendige karakter ervan, kan moeilijk onderschat worden. Deze raakt immers aan de openbare orde. De procureur des Konings </w:t>
      </w:r>
      <w:r w:rsidRPr="00D36079">
        <w:rPr>
          <w:lang w:val="nl-NL"/>
        </w:rPr>
        <w:lastRenderedPageBreak/>
        <w:t>kan namelijk de nietigheid vorderen van een huwelijk dat strijdig is met deze voorwaarde.</w:t>
      </w:r>
      <w:r>
        <w:rPr>
          <w:rStyle w:val="Voetnootmarkering"/>
          <w:lang w:val="nl-NL"/>
        </w:rPr>
        <w:footnoteReference w:id="83"/>
      </w:r>
      <w:r w:rsidRPr="00D36079">
        <w:rPr>
          <w:lang w:val="nl-NL"/>
        </w:rPr>
        <w:t xml:space="preserve"> In de rechtspraak zijn, de voorbeelden waar een huwelijk nietig wordt verklaard omdat het niet met het oog op het organiseren van een duurzame levensgemeenschap, </w:t>
      </w:r>
      <w:r w:rsidRPr="00D36079">
        <w:rPr>
          <w:i/>
          <w:iCs/>
          <w:lang w:val="nl-NL"/>
        </w:rPr>
        <w:t>legio.</w:t>
      </w:r>
      <w:r>
        <w:rPr>
          <w:rStyle w:val="Voetnootmarkering"/>
          <w:i/>
          <w:iCs/>
          <w:lang w:val="nl-NL"/>
        </w:rPr>
        <w:footnoteReference w:id="84"/>
      </w:r>
    </w:p>
    <w:p w14:paraId="46DAC75A" w14:textId="77777777" w:rsidR="00BD18A3" w:rsidRDefault="00BD18A3" w:rsidP="00BD18A3">
      <w:pPr>
        <w:rPr>
          <w:lang w:val="nl-NL"/>
        </w:rPr>
      </w:pPr>
    </w:p>
    <w:p w14:paraId="521EA25C" w14:textId="77777777" w:rsidR="00BD18A3" w:rsidRDefault="00BD18A3" w:rsidP="00BD18A3">
      <w:pPr>
        <w:pStyle w:val="Lijstalinea"/>
        <w:numPr>
          <w:ilvl w:val="0"/>
          <w:numId w:val="26"/>
        </w:numPr>
        <w:ind w:left="0" w:firstLine="0"/>
        <w:rPr>
          <w:lang w:val="nl-NL"/>
        </w:rPr>
      </w:pPr>
      <w:r w:rsidRPr="00D36079">
        <w:rPr>
          <w:lang w:val="nl-NL"/>
        </w:rPr>
        <w:t>Cruciaal om ook in overeenstemming te zijn met de voorwaarde van bestendigheid is de vraag of de levensgemeenschap die tot stand komt door het huwelijk en wettelijke samenwoning</w:t>
      </w:r>
      <w:r>
        <w:rPr>
          <w:lang w:val="nl-NL"/>
        </w:rPr>
        <w:t xml:space="preserve"> </w:t>
      </w:r>
      <w:r w:rsidRPr="00D36079">
        <w:rPr>
          <w:lang w:val="nl-NL"/>
        </w:rPr>
        <w:t>van bepaalde duur afdoende duurzaam (bestendig) is? Is er enkel en alleen sprake van een duurzame levensgemeenschap als deze van onbepaalde duur is of kan er ook een bestendige levensgemeenschap ontstaan als deze van bepaalde duur is?</w:t>
      </w:r>
    </w:p>
    <w:p w14:paraId="7C477504" w14:textId="77777777" w:rsidR="00BD18A3" w:rsidRPr="00D36079" w:rsidRDefault="00BD18A3" w:rsidP="00BD18A3">
      <w:pPr>
        <w:pStyle w:val="Lijstalinea"/>
        <w:rPr>
          <w:lang w:val="nl-NL"/>
        </w:rPr>
      </w:pPr>
    </w:p>
    <w:p w14:paraId="5C61133C" w14:textId="77777777" w:rsidR="00BD18A3" w:rsidRPr="00D36079" w:rsidRDefault="00BD18A3" w:rsidP="00BD18A3">
      <w:pPr>
        <w:pStyle w:val="Lijstalinea"/>
        <w:numPr>
          <w:ilvl w:val="0"/>
          <w:numId w:val="26"/>
        </w:numPr>
        <w:ind w:left="0" w:firstLine="0"/>
        <w:rPr>
          <w:lang w:val="nl-NL"/>
        </w:rPr>
      </w:pPr>
      <w:r w:rsidRPr="00D36079">
        <w:rPr>
          <w:lang w:val="nl-NL"/>
        </w:rPr>
        <w:t>Voor wat betreft de wettelijke samenwoning heeft de wetgever nagelaten de voorwaarde van “de organisatie van een duurzame levensgemeenschap” te vermelden in de wettekst.</w:t>
      </w:r>
      <w:r>
        <w:rPr>
          <w:rStyle w:val="Voetnootmarkering"/>
          <w:lang w:val="nl-NL"/>
        </w:rPr>
        <w:footnoteReference w:id="85"/>
      </w:r>
      <w:r w:rsidRPr="00D36079">
        <w:rPr>
          <w:lang w:val="nl-NL"/>
        </w:rPr>
        <w:t xml:space="preserve"> Bepaalde auteurs stellen dan ook bijgevolg dat </w:t>
      </w:r>
      <w:r>
        <w:t>de wettelijke samenwoning essentieel gericht is op het vormen van een (niet noodzakelijk duurzame) levensgemeenschap.</w:t>
      </w:r>
      <w:r>
        <w:rPr>
          <w:rStyle w:val="Voetnootmarkering"/>
        </w:rPr>
        <w:footnoteReference w:id="86"/>
      </w:r>
      <w:r w:rsidRPr="00D36079">
        <w:rPr>
          <w:lang w:val="nl-NL"/>
        </w:rPr>
        <w:t xml:space="preserve"> Het feit dat de wettelijke samenwoning bij onderlinge overeenstemming en zelfs eenzijdig beëindigd kan worden, dient in datzelfde licht gezien te worden.</w:t>
      </w:r>
      <w:r>
        <w:rPr>
          <w:rStyle w:val="Voetnootmarkering"/>
          <w:lang w:val="nl-NL"/>
        </w:rPr>
        <w:footnoteReference w:id="87"/>
      </w:r>
      <w:r>
        <w:t xml:space="preserve"> Tevens refereert de Raad van State naar het doel van de wetgever bij de invoering van de wettelijke samenwoning.</w:t>
      </w:r>
      <w:r>
        <w:rPr>
          <w:rStyle w:val="Voetnootmarkering"/>
        </w:rPr>
        <w:footnoteReference w:id="88"/>
      </w:r>
      <w:r>
        <w:t xml:space="preserve"> Dit doelde op het creëren van een beperkte vermogensrechtelijke bescherming voor partners die niet kunnen of willen huwen. De wettelijke samenwoning werd losgekoppeld van noties als affectiviteit en seksualiteit en opengesteld voor elk type tweerelatie, ongeacht het geslacht van de partners en de verwantschap tussen beiden.</w:t>
      </w:r>
      <w:r>
        <w:rPr>
          <w:rStyle w:val="Voetnootmarkering"/>
        </w:rPr>
        <w:footnoteReference w:id="89"/>
      </w:r>
      <w:r>
        <w:t xml:space="preserve"> Het was dan ook de bedoeling van de wetgever, edoch dit niet expliciet in de parlementaire voorbereidingen te lezen valt, te voorzien in een soort van ”mini-huwelijk” voor niet-hetero seksuele partners. Dit als antwoord op de maatschappelijke nood tot institutionalisering van niet-hetero seksuele relaties, bij </w:t>
      </w:r>
      <w:r>
        <w:lastRenderedPageBreak/>
        <w:t>(destijds) ontstentenis van maatschappelijk en politiek draagvlak om het huwelijk hiervoor open te stellen.</w:t>
      </w:r>
      <w:r>
        <w:rPr>
          <w:rStyle w:val="Voetnootmarkering"/>
        </w:rPr>
        <w:footnoteReference w:id="90"/>
      </w:r>
      <w:r>
        <w:t xml:space="preserve"> </w:t>
      </w:r>
    </w:p>
    <w:p w14:paraId="132BDD82" w14:textId="77777777" w:rsidR="00BD18A3" w:rsidRDefault="00BD18A3" w:rsidP="00BD18A3"/>
    <w:p w14:paraId="14DD8F9B" w14:textId="77777777" w:rsidR="00BD18A3" w:rsidRDefault="00BD18A3" w:rsidP="00BD18A3">
      <w:r>
        <w:t>Net zoals voor het huwelijk (</w:t>
      </w:r>
      <w:r w:rsidRPr="00504A43">
        <w:rPr>
          <w:i/>
          <w:iCs/>
        </w:rPr>
        <w:t>infra</w:t>
      </w:r>
      <w:r w:rsidRPr="00504A43">
        <w:t xml:space="preserve"> randnummer 6</w:t>
      </w:r>
      <w:r>
        <w:t>2</w:t>
      </w:r>
      <w:r w:rsidRPr="00504A43">
        <w:t xml:space="preserve">) </w:t>
      </w:r>
      <w:r>
        <w:t>bestaat er een zusterbepaling betreffende de wettelijke samenwoning die gericht is op het tegengaan van schijnwettelijke samenwoningen. Het behelst het feit dat er geen wettelijke samenwoning is wanneer deze kennelijk enkel gericht is op het bekomen van een verblijfsrechtelijk voordeel dat verbonden is aan de staat van de wettelijk samenwonende.</w:t>
      </w:r>
      <w:r>
        <w:rPr>
          <w:rStyle w:val="Voetnootmarkering"/>
        </w:rPr>
        <w:footnoteReference w:id="91"/>
      </w:r>
      <w:r>
        <w:t xml:space="preserve"> Ook deze bepaling verzuimt gewag te maken van de “duurzame levensgemeenschap” als grond voor de beëindiging van de wettelijke samenwoning. </w:t>
      </w:r>
    </w:p>
    <w:p w14:paraId="12DAFCD0" w14:textId="77777777" w:rsidR="00BD18A3" w:rsidRDefault="00BD18A3" w:rsidP="00BD18A3"/>
    <w:p w14:paraId="76216052" w14:textId="77777777" w:rsidR="00BD18A3" w:rsidRDefault="00BD18A3" w:rsidP="00BD18A3">
      <w:r>
        <w:t>Concluderend kan worden gesteld dat voor de wettelijke samenwoning géén vereiste van duurzaamheid (bestendigheid) speelt, waardoor een wettelijke samenwoning van bepaalde duur net zo min aan deze voorwaarde onderworpen is.</w:t>
      </w:r>
    </w:p>
    <w:p w14:paraId="797922CC" w14:textId="77777777" w:rsidR="00BD18A3" w:rsidRDefault="00BD18A3" w:rsidP="00BD18A3"/>
    <w:p w14:paraId="3738D370" w14:textId="77777777" w:rsidR="00BD18A3" w:rsidRDefault="00BD18A3" w:rsidP="00BD18A3">
      <w:pPr>
        <w:pStyle w:val="Lijstalinea"/>
        <w:numPr>
          <w:ilvl w:val="0"/>
          <w:numId w:val="26"/>
        </w:numPr>
        <w:ind w:left="0" w:firstLine="0"/>
      </w:pPr>
      <w:r>
        <w:t>Betreffende het huwelijk liggen de kaarten mogelijk anders. De wetgever heeft voor het huwelijk uitdrukkelijk in de wet ingeschreven dat: “</w:t>
      </w:r>
      <w:r w:rsidRPr="008C7446">
        <w:rPr>
          <w:i/>
          <w:iCs/>
        </w:rPr>
        <w:t xml:space="preserve">er </w:t>
      </w:r>
      <w:r w:rsidRPr="008C7446">
        <w:rPr>
          <w:b/>
          <w:bCs/>
          <w:i/>
          <w:iCs/>
        </w:rPr>
        <w:t>geen huwelijk</w:t>
      </w:r>
      <w:r w:rsidRPr="008C7446">
        <w:rPr>
          <w:i/>
          <w:iCs/>
        </w:rPr>
        <w:t xml:space="preserve"> is wanneer, ondanks de gegeven formele toestemmingen, blijkt </w:t>
      </w:r>
      <w:r w:rsidRPr="0071537C">
        <w:rPr>
          <w:i/>
          <w:iCs/>
        </w:rPr>
        <w:t xml:space="preserve">dat de intentie van minstens één van de echtgenoten kennelijk </w:t>
      </w:r>
      <w:r w:rsidRPr="0071537C">
        <w:rPr>
          <w:b/>
          <w:bCs/>
          <w:i/>
          <w:iCs/>
        </w:rPr>
        <w:t>niet</w:t>
      </w:r>
      <w:r w:rsidRPr="0071537C">
        <w:rPr>
          <w:i/>
          <w:iCs/>
        </w:rPr>
        <w:t xml:space="preserve"> gericht is op het tot stand brengen van een</w:t>
      </w:r>
      <w:r w:rsidRPr="008C7446">
        <w:rPr>
          <w:b/>
          <w:bCs/>
          <w:i/>
          <w:iCs/>
        </w:rPr>
        <w:t xml:space="preserve"> duurzame levensgemeenschap</w:t>
      </w:r>
      <w:r w:rsidRPr="008C7446">
        <w:rPr>
          <w:i/>
          <w:iCs/>
        </w:rPr>
        <w:t>, maar enkel op het verkrijgen van een verblijfsrechtelijk voordeel dat is verbonden aan de staat van gehuwde</w:t>
      </w:r>
      <w:r>
        <w:t>”.</w:t>
      </w:r>
      <w:r>
        <w:rPr>
          <w:rStyle w:val="Voetnootmarkering"/>
        </w:rPr>
        <w:footnoteReference w:id="92"/>
      </w:r>
      <w:r>
        <w:t xml:space="preserve"> (eigen markering)</w:t>
      </w:r>
    </w:p>
    <w:p w14:paraId="1A1435C0" w14:textId="77777777" w:rsidR="00BD18A3" w:rsidRDefault="00BD18A3" w:rsidP="00BD18A3">
      <w:pPr>
        <w:pStyle w:val="Lijstalinea"/>
      </w:pPr>
    </w:p>
    <w:p w14:paraId="145EB3DC" w14:textId="77777777" w:rsidR="00BD18A3" w:rsidRPr="00BA7168" w:rsidRDefault="00BD18A3" w:rsidP="00BD18A3">
      <w:pPr>
        <w:pStyle w:val="Lijstalinea"/>
        <w:numPr>
          <w:ilvl w:val="0"/>
          <w:numId w:val="26"/>
        </w:numPr>
        <w:ind w:left="0" w:firstLine="0"/>
      </w:pPr>
      <w:r>
        <w:t xml:space="preserve">De pertinentie omtrent de vraag of het huwelijk van bepaalde duur in strijd is met het vijfde kenmerk van het huwelijk, namelijk de </w:t>
      </w:r>
      <w:r w:rsidRPr="00BA7168">
        <w:rPr>
          <w:i/>
          <w:iCs/>
          <w:lang w:val="nl-NL"/>
        </w:rPr>
        <w:t>bestendigheid</w:t>
      </w:r>
      <w:r>
        <w:rPr>
          <w:i/>
          <w:iCs/>
          <w:lang w:val="nl-NL"/>
        </w:rPr>
        <w:t xml:space="preserve"> </w:t>
      </w:r>
      <w:r>
        <w:rPr>
          <w:lang w:val="nl-NL"/>
        </w:rPr>
        <w:t>(duurzaamheid)</w:t>
      </w:r>
      <w:r w:rsidRPr="00BA7168">
        <w:rPr>
          <w:lang w:val="nl-NL"/>
        </w:rPr>
        <w:t xml:space="preserve"> van de levensgemeenschap valt moeilijk te onderschatten. </w:t>
      </w:r>
    </w:p>
    <w:p w14:paraId="1026BFBD" w14:textId="77777777" w:rsidR="00BD18A3" w:rsidRDefault="00BD18A3" w:rsidP="00BD18A3">
      <w:pPr>
        <w:rPr>
          <w:lang w:val="nl-NL"/>
        </w:rPr>
      </w:pPr>
    </w:p>
    <w:p w14:paraId="39966DB5" w14:textId="77777777" w:rsidR="00BD18A3" w:rsidRDefault="00BD18A3" w:rsidP="00BD18A3">
      <w:pPr>
        <w:rPr>
          <w:lang w:val="nl-NL"/>
        </w:rPr>
      </w:pPr>
      <w:r>
        <w:rPr>
          <w:lang w:val="nl-NL"/>
        </w:rPr>
        <w:t>Indien er wordt geconcludeerd dat het huwelijk van bepaalde duur nog steeds voldoende bestendig of duurzaam is, kan er worden aangenomen dat ook het huwelijk van bepaalde duur voldoet aan het kenmerk van de bestendigheid. Bijgevolg zal het huwelijk van bepaalde duur niet strijdig zijn met het kenmerk van de bestendigheid, waardoor het ook als huwelijk gekwalificeerd kan worden. Binnen deze veronderstelling zal het huwelijk van bepaalde duur rechtsgeldig zijn intrede kunnen maken in het Belgisch recht.</w:t>
      </w:r>
    </w:p>
    <w:p w14:paraId="5AFB8D7F" w14:textId="77777777" w:rsidR="00BD18A3" w:rsidRDefault="00BD18A3" w:rsidP="00BD18A3">
      <w:pPr>
        <w:rPr>
          <w:lang w:val="nl-NL"/>
        </w:rPr>
      </w:pPr>
    </w:p>
    <w:p w14:paraId="7F702BAE" w14:textId="77777777" w:rsidR="00BD18A3" w:rsidRDefault="00BD18A3" w:rsidP="00BD18A3">
      <w:pPr>
        <w:rPr>
          <w:lang w:val="nl-NL"/>
        </w:rPr>
      </w:pPr>
      <w:r>
        <w:rPr>
          <w:lang w:val="nl-NL"/>
        </w:rPr>
        <w:t xml:space="preserve">Indien er echter wordt aangenomen dat er enkel en alleen sprake is van bestendigheid of duurzaamheid wanneer het huwelijk voor onbepaalde duur wordt aangegaan, zal het </w:t>
      </w:r>
      <w:r>
        <w:rPr>
          <w:lang w:val="nl-NL"/>
        </w:rPr>
        <w:lastRenderedPageBreak/>
        <w:t>huwelijk van bepaalde duur strijdig zijn met het kenmerk van de bestendigheid. Hierdoor zal overeenkomstig deze strekking het huwelijk van bepaalde duur niet kunnen worden gekwalificeerd als een huwelijk. Bijgevolg zal het huwelijk van bepaalde duur binnen deze veronderstelling niet kunnen worden ingevoerd, aangezien dit niet als rechtsgeldig huwelijk kan worden bestempeld.</w:t>
      </w:r>
    </w:p>
    <w:p w14:paraId="0D48BDA8" w14:textId="77777777" w:rsidR="00BD18A3" w:rsidRDefault="00BD18A3" w:rsidP="00BD18A3">
      <w:pPr>
        <w:rPr>
          <w:lang w:val="nl-NL"/>
        </w:rPr>
      </w:pPr>
    </w:p>
    <w:p w14:paraId="3AA08ADB" w14:textId="77777777" w:rsidR="00BD18A3" w:rsidRDefault="00BD18A3" w:rsidP="00BD18A3">
      <w:pPr>
        <w:pStyle w:val="Lijstalinea"/>
        <w:numPr>
          <w:ilvl w:val="0"/>
          <w:numId w:val="26"/>
        </w:numPr>
        <w:ind w:left="0" w:firstLine="0"/>
        <w:rPr>
          <w:lang w:val="nl-NL"/>
        </w:rPr>
      </w:pPr>
      <w:r w:rsidRPr="00BA7168">
        <w:rPr>
          <w:lang w:val="nl-NL"/>
        </w:rPr>
        <w:t>Overigens is het van belang een kanttekening te maken bij voormeld artikel 146</w:t>
      </w:r>
      <w:r w:rsidRPr="00BA7168">
        <w:rPr>
          <w:i/>
          <w:iCs/>
          <w:lang w:val="nl-NL"/>
        </w:rPr>
        <w:t xml:space="preserve">bis </w:t>
      </w:r>
      <w:r w:rsidRPr="00BA7168">
        <w:rPr>
          <w:lang w:val="nl-NL"/>
        </w:rPr>
        <w:t xml:space="preserve">oud BW en de voorwaarde van de duurzame levensgemeenschap. Het laatste deel van dit artikel maakt namelijk de link naar het </w:t>
      </w:r>
      <w:r w:rsidRPr="004E3CF9">
        <w:rPr>
          <w:lang w:val="nl-NL"/>
        </w:rPr>
        <w:t xml:space="preserve">enkel </w:t>
      </w:r>
      <w:r w:rsidRPr="00BA7168">
        <w:rPr>
          <w:lang w:val="nl-NL"/>
        </w:rPr>
        <w:t xml:space="preserve">beogen van een verblijfsrechtelijk voordeel dat gepaard gaat met de staat van gehuwde. </w:t>
      </w:r>
      <w:r>
        <w:rPr>
          <w:lang w:val="nl-NL"/>
        </w:rPr>
        <w:t>Bij wijze van teleologische interpretatie kan er worden afgeleid dat de term “enkel” wijst op het benadrukken van het ontbreken van de intentie om een duurzame levensgemeenschap te vormen. Het beperkende begrip “enkel” verwijst dus in deze niet dat het huwelijk rechtsgeldig zou zijn wanneer er een combinatie is van motieven, maar wanneer de intentie om een duurzame levensgemeenschap te vormen afwezig is.</w:t>
      </w:r>
      <w:r>
        <w:rPr>
          <w:rStyle w:val="Voetnootmarkering"/>
          <w:lang w:val="nl-NL"/>
        </w:rPr>
        <w:footnoteReference w:id="93"/>
      </w:r>
    </w:p>
    <w:p w14:paraId="3BFBCF92" w14:textId="77777777" w:rsidR="00BD18A3" w:rsidRDefault="00BD18A3" w:rsidP="00BD18A3">
      <w:pPr>
        <w:pStyle w:val="Lijstalinea"/>
        <w:rPr>
          <w:lang w:val="nl-NL"/>
        </w:rPr>
      </w:pPr>
    </w:p>
    <w:p w14:paraId="4656EFFA" w14:textId="77777777" w:rsidR="00BD18A3" w:rsidRPr="00BA7168" w:rsidRDefault="00BD18A3" w:rsidP="00BD18A3">
      <w:pPr>
        <w:pStyle w:val="Lijstalinea"/>
        <w:rPr>
          <w:lang w:val="nl-NL"/>
        </w:rPr>
      </w:pPr>
      <w:r w:rsidRPr="00BA7168">
        <w:rPr>
          <w:lang w:val="nl-NL"/>
        </w:rPr>
        <w:t xml:space="preserve">Uit zowel de parlementaire voorbereidingen als de omzendbrief inzake de invoering van deze bepaling blijkt dat het introduceren van deze bepaling slechts doelt op de </w:t>
      </w:r>
      <w:r w:rsidRPr="0071537C">
        <w:rPr>
          <w:i/>
          <w:iCs/>
          <w:lang w:val="nl-NL"/>
        </w:rPr>
        <w:t>a posteriori</w:t>
      </w:r>
      <w:r w:rsidRPr="00BA7168">
        <w:rPr>
          <w:lang w:val="nl-NL"/>
        </w:rPr>
        <w:t>-bestrijding van gesloten schijnhuwelijken.</w:t>
      </w:r>
      <w:r>
        <w:rPr>
          <w:rStyle w:val="Voetnootmarkering"/>
          <w:lang w:val="nl-NL"/>
        </w:rPr>
        <w:footnoteReference w:id="94"/>
      </w:r>
      <w:r w:rsidRPr="00BA7168">
        <w:rPr>
          <w:lang w:val="nl-NL"/>
        </w:rPr>
        <w:t xml:space="preserve"> De nietigheidsgrond</w:t>
      </w:r>
      <w:bookmarkStart w:id="42" w:name="refvnn3"/>
      <w:bookmarkEnd w:id="42"/>
      <w:r w:rsidRPr="00BA7168">
        <w:rPr>
          <w:lang w:val="nl-NL"/>
        </w:rPr>
        <w:t xml:space="preserve"> van deze bepaling dient dus als een richtlijn voor de ambtenaar van de burgerlijke stand aanzien te worden om de voltrekking van een vermeend schijnhuwelijk te weigeren.</w:t>
      </w:r>
      <w:r>
        <w:rPr>
          <w:rStyle w:val="Voetnootmarkering"/>
          <w:lang w:val="nl-NL"/>
        </w:rPr>
        <w:footnoteReference w:id="95"/>
      </w:r>
      <w:r w:rsidRPr="00BA7168">
        <w:rPr>
          <w:lang w:val="nl-NL"/>
        </w:rPr>
        <w:t xml:space="preserve"> Er zou geconcludeerd kunnen worden dat de </w:t>
      </w:r>
      <w:r w:rsidRPr="00BA7168">
        <w:rPr>
          <w:i/>
          <w:iCs/>
          <w:lang w:val="nl-NL"/>
        </w:rPr>
        <w:t>ratio legis</w:t>
      </w:r>
      <w:r w:rsidRPr="00BA7168">
        <w:rPr>
          <w:lang w:val="nl-NL"/>
        </w:rPr>
        <w:t xml:space="preserve"> van de voorwaarde van de duurzame levensgemeenschap dus veeleer ligt op de bestrijding van schijnhuwelijken dan als daadwerkelijk grondvoorwaarde van het huwelijk. Binnen de opvatting dat de voorwaarde van de duurzame levensgemeenschap genuanceerd dient te worden tot tool van de ambtenaar van de burgerlijke stand om schijnhuwelijken te bestrijden, lijkt het minder waarschijnlijk dat het huwelijk van bepaalde duur effectief over deze voorwaarde struikelt.</w:t>
      </w:r>
    </w:p>
    <w:p w14:paraId="10411ECB" w14:textId="77777777" w:rsidR="00BD18A3" w:rsidRDefault="00BD18A3" w:rsidP="00BD18A3">
      <w:pPr>
        <w:pStyle w:val="Kop4"/>
        <w:numPr>
          <w:ilvl w:val="0"/>
          <w:numId w:val="30"/>
        </w:numPr>
        <w:rPr>
          <w:lang w:val="nl-NL"/>
        </w:rPr>
      </w:pPr>
      <w:bookmarkStart w:id="43" w:name="_Toc167990464"/>
      <w:r>
        <w:rPr>
          <w:lang w:val="nl-NL"/>
        </w:rPr>
        <w:t>Contractueel</w:t>
      </w:r>
      <w:bookmarkEnd w:id="43"/>
    </w:p>
    <w:p w14:paraId="2D470479" w14:textId="77777777" w:rsidR="00BD18A3" w:rsidRPr="00BA7168" w:rsidRDefault="00BD18A3" w:rsidP="00BD18A3">
      <w:pPr>
        <w:pStyle w:val="Lijstalinea"/>
        <w:numPr>
          <w:ilvl w:val="0"/>
          <w:numId w:val="26"/>
        </w:numPr>
        <w:ind w:left="0" w:firstLine="0"/>
        <w:rPr>
          <w:lang w:val="nl-NL"/>
        </w:rPr>
      </w:pPr>
      <w:r w:rsidRPr="00BA7168">
        <w:rPr>
          <w:lang w:val="nl-NL"/>
        </w:rPr>
        <w:t xml:space="preserve">Het </w:t>
      </w:r>
      <w:r>
        <w:rPr>
          <w:lang w:val="nl-NL"/>
        </w:rPr>
        <w:t>zesde</w:t>
      </w:r>
      <w:r w:rsidRPr="00BA7168">
        <w:rPr>
          <w:lang w:val="nl-NL"/>
        </w:rPr>
        <w:t xml:space="preserve"> en tevens laatste kenmerk van het huwelijk</w:t>
      </w:r>
      <w:r>
        <w:rPr>
          <w:lang w:val="nl-NL"/>
        </w:rPr>
        <w:t xml:space="preserve"> en de wettelijke samenwoning</w:t>
      </w:r>
      <w:r w:rsidRPr="00BA7168">
        <w:rPr>
          <w:lang w:val="nl-NL"/>
        </w:rPr>
        <w:t xml:space="preserve"> beklemtoont het </w:t>
      </w:r>
      <w:r w:rsidRPr="00BA7168">
        <w:rPr>
          <w:i/>
          <w:iCs/>
          <w:lang w:val="nl-NL"/>
        </w:rPr>
        <w:t>contractuele</w:t>
      </w:r>
      <w:r w:rsidRPr="00BA7168">
        <w:rPr>
          <w:lang w:val="nl-NL"/>
        </w:rPr>
        <w:t xml:space="preserve"> karakter van de instelling. Een overeenkomst tussen beide partners dient steeds aan de basis van </w:t>
      </w:r>
      <w:r>
        <w:rPr>
          <w:lang w:val="nl-NL"/>
        </w:rPr>
        <w:t>de relatievorm</w:t>
      </w:r>
      <w:r w:rsidRPr="00BA7168">
        <w:rPr>
          <w:lang w:val="nl-NL"/>
        </w:rPr>
        <w:t xml:space="preserve"> te liggen. Een huwelijk</w:t>
      </w:r>
      <w:r>
        <w:rPr>
          <w:lang w:val="nl-NL"/>
        </w:rPr>
        <w:t xml:space="preserve"> en wettelijke samenwoning</w:t>
      </w:r>
      <w:r w:rsidRPr="00BA7168">
        <w:rPr>
          <w:lang w:val="nl-NL"/>
        </w:rPr>
        <w:t xml:space="preserve"> kan dus niet door louter feitelijkheden en zonder formaliteiten </w:t>
      </w:r>
      <w:r w:rsidRPr="00BA7168">
        <w:rPr>
          <w:lang w:val="nl-NL"/>
        </w:rPr>
        <w:lastRenderedPageBreak/>
        <w:t>tot stand komen. Dit in tegenstelling tot andere rechtstelsels waar het huwelijk geldig kan ontstaan op grond van een bestendige samenwoning tussen de partners. Het contractuele karakter van het huwelijk</w:t>
      </w:r>
      <w:r>
        <w:rPr>
          <w:lang w:val="nl-NL"/>
        </w:rPr>
        <w:t xml:space="preserve"> en de wettelijke samenwoning</w:t>
      </w:r>
      <w:r w:rsidRPr="00BA7168">
        <w:rPr>
          <w:lang w:val="nl-NL"/>
        </w:rPr>
        <w:t xml:space="preserve"> bij ons vindt zijn oorsprong in het Romeins recht, wat door het canoniek recht sterk benadrukt werd. </w:t>
      </w:r>
      <w:r>
        <w:rPr>
          <w:lang w:val="nl-NL"/>
        </w:rPr>
        <w:t>Het</w:t>
      </w:r>
      <w:r w:rsidRPr="00BA7168">
        <w:rPr>
          <w:lang w:val="nl-NL"/>
        </w:rPr>
        <w:t xml:space="preserve"> huwelijk</w:t>
      </w:r>
      <w:r>
        <w:rPr>
          <w:lang w:val="nl-NL"/>
        </w:rPr>
        <w:t xml:space="preserve"> en de wettelijke samenwoning</w:t>
      </w:r>
      <w:r w:rsidRPr="00BA7168">
        <w:rPr>
          <w:lang w:val="nl-NL"/>
        </w:rPr>
        <w:t xml:space="preserve"> van bepaalde duur raakt niet aan het contractuele</w:t>
      </w:r>
      <w:r>
        <w:rPr>
          <w:lang w:val="nl-NL"/>
        </w:rPr>
        <w:t xml:space="preserve"> karakter</w:t>
      </w:r>
      <w:r w:rsidRPr="00BA7168">
        <w:rPr>
          <w:lang w:val="nl-NL"/>
        </w:rPr>
        <w:t xml:space="preserve"> van de instelling. Het huwelijk</w:t>
      </w:r>
      <w:r>
        <w:rPr>
          <w:lang w:val="nl-NL"/>
        </w:rPr>
        <w:t xml:space="preserve"> en de wettelijke samenwoning</w:t>
      </w:r>
      <w:r w:rsidRPr="00BA7168">
        <w:rPr>
          <w:lang w:val="nl-NL"/>
        </w:rPr>
        <w:t xml:space="preserve"> van bepaalde duur zal net zoals het huwelijk </w:t>
      </w:r>
      <w:r>
        <w:rPr>
          <w:lang w:val="nl-NL"/>
        </w:rPr>
        <w:t xml:space="preserve">en de wettelijke samenwoning </w:t>
      </w:r>
      <w:r w:rsidRPr="00BA7168">
        <w:rPr>
          <w:i/>
          <w:iCs/>
          <w:lang w:val="nl-NL"/>
        </w:rPr>
        <w:t xml:space="preserve">de lege </w:t>
      </w:r>
      <w:proofErr w:type="spellStart"/>
      <w:r w:rsidRPr="00BA7168">
        <w:rPr>
          <w:i/>
          <w:iCs/>
          <w:lang w:val="nl-NL"/>
        </w:rPr>
        <w:t>lata</w:t>
      </w:r>
      <w:proofErr w:type="spellEnd"/>
      <w:r w:rsidRPr="00BA7168">
        <w:rPr>
          <w:i/>
          <w:iCs/>
          <w:lang w:val="nl-NL"/>
        </w:rPr>
        <w:t xml:space="preserve"> </w:t>
      </w:r>
      <w:r w:rsidRPr="00BA7168">
        <w:rPr>
          <w:lang w:val="nl-NL"/>
        </w:rPr>
        <w:t>onderworpen zijn aan formaliteiten en op basis van een overeenkomst tussen beide partners ontstaan.</w:t>
      </w:r>
      <w:r>
        <w:rPr>
          <w:rStyle w:val="Voetnootmarkering"/>
          <w:lang w:val="nl-NL"/>
        </w:rPr>
        <w:footnoteReference w:id="96"/>
      </w:r>
      <w:r w:rsidRPr="00BA7168">
        <w:rPr>
          <w:lang w:val="nl-NL"/>
        </w:rPr>
        <w:t xml:space="preserve"> </w:t>
      </w:r>
      <w:r>
        <w:rPr>
          <w:lang w:val="nl-NL"/>
        </w:rPr>
        <w:t>Relatievormen</w:t>
      </w:r>
      <w:r w:rsidRPr="00BA7168">
        <w:rPr>
          <w:lang w:val="nl-NL"/>
        </w:rPr>
        <w:t xml:space="preserve"> van bepaalde duur voldoe</w:t>
      </w:r>
      <w:r>
        <w:rPr>
          <w:lang w:val="nl-NL"/>
        </w:rPr>
        <w:t xml:space="preserve">n </w:t>
      </w:r>
      <w:r w:rsidRPr="00BA7168">
        <w:rPr>
          <w:lang w:val="nl-NL"/>
        </w:rPr>
        <w:t>dus aan de voorwaarde van contractuele instelling.</w:t>
      </w:r>
    </w:p>
    <w:p w14:paraId="18836EAD" w14:textId="77777777" w:rsidR="00BD18A3" w:rsidRDefault="00BD18A3" w:rsidP="00BD18A3">
      <w:pPr>
        <w:pStyle w:val="Kop2"/>
        <w:rPr>
          <w:lang w:val="nl-NL"/>
        </w:rPr>
      </w:pPr>
      <w:bookmarkStart w:id="44" w:name="_Toc167990465"/>
      <w:r>
        <w:rPr>
          <w:lang w:val="nl-NL"/>
        </w:rPr>
        <w:t>Hoofdstuk 3. Uitdovende tijdsbepaling</w:t>
      </w:r>
      <w:bookmarkEnd w:id="44"/>
    </w:p>
    <w:p w14:paraId="053998BA" w14:textId="77777777" w:rsidR="00BD18A3" w:rsidRPr="00A526BC" w:rsidRDefault="00BD18A3" w:rsidP="00BD18A3">
      <w:pPr>
        <w:pStyle w:val="Lijstalinea"/>
        <w:numPr>
          <w:ilvl w:val="0"/>
          <w:numId w:val="26"/>
        </w:numPr>
        <w:ind w:left="0" w:firstLine="0"/>
        <w:rPr>
          <w:lang w:val="nl-NL"/>
        </w:rPr>
      </w:pPr>
      <w:r w:rsidRPr="00A526BC">
        <w:rPr>
          <w:lang w:val="nl-NL"/>
        </w:rPr>
        <w:t xml:space="preserve">Dit </w:t>
      </w:r>
      <w:r>
        <w:rPr>
          <w:lang w:val="nl-NL"/>
        </w:rPr>
        <w:t>derde</w:t>
      </w:r>
      <w:r w:rsidRPr="00A526BC">
        <w:rPr>
          <w:lang w:val="nl-NL"/>
        </w:rPr>
        <w:t xml:space="preserve"> hoofdstuk beschrijft hoe het huwelijk en de wettelijke samenwoning van bepaalde duur in het toekomstig Belgisch recht kan worden geïmplementeerd. Op niveau van de wetgever wordt gezocht naar manieren hoe uit de uitdovende tijdsbepaling van het huwelijk en de wettelijke samenwoning rechtgevolgen kunnen vloeien. Dit wordt tevens gekoppeld aan de wijze waarop echtgenoten en wettelijk samenwonenden daadwerkelijk de uitdovende tijdsbepaling bij hun respectievelijk </w:t>
      </w:r>
      <w:r>
        <w:rPr>
          <w:lang w:val="nl-NL"/>
        </w:rPr>
        <w:t xml:space="preserve">relatievorm </w:t>
      </w:r>
      <w:r w:rsidRPr="00A526BC">
        <w:rPr>
          <w:lang w:val="nl-NL"/>
        </w:rPr>
        <w:t xml:space="preserve">kunnen bedingen. Van zodra de uitdovende tijdsbepaling bij het huwelijk en de wettelijke samenwoning geïmplementeerd is, zowel op niveau van de wetgever, als tussen de </w:t>
      </w:r>
      <w:r>
        <w:rPr>
          <w:lang w:val="nl-NL"/>
        </w:rPr>
        <w:t>partners</w:t>
      </w:r>
      <w:r w:rsidRPr="00A526BC">
        <w:rPr>
          <w:lang w:val="nl-NL"/>
        </w:rPr>
        <w:t>, is het huwelijk en de wettelijke samenwoning van bepaalde duur een feit. Dit met de kanttekening dat het huwelijk en de wettelijke samenwoning van bepaalde duur enkel mogelijk zal zijn in de aanname dat het huwelijk en de wettelijke samenwoning van bepaalde duur niet stuit op hinderpalen</w:t>
      </w:r>
      <w:r>
        <w:rPr>
          <w:lang w:val="nl-NL"/>
        </w:rPr>
        <w:t xml:space="preserve"> (</w:t>
      </w:r>
      <w:r w:rsidRPr="007E6BCD">
        <w:rPr>
          <w:i/>
          <w:iCs/>
          <w:lang w:val="nl-NL"/>
        </w:rPr>
        <w:t>supra</w:t>
      </w:r>
      <w:r w:rsidRPr="007E6BCD">
        <w:rPr>
          <w:lang w:val="nl-NL"/>
        </w:rPr>
        <w:t xml:space="preserve"> randnummer 45</w:t>
      </w:r>
      <w:r>
        <w:rPr>
          <w:lang w:val="nl-NL"/>
        </w:rPr>
        <w:t xml:space="preserve"> e.v.).</w:t>
      </w:r>
    </w:p>
    <w:p w14:paraId="0DA4BBB0" w14:textId="77777777" w:rsidR="00BD18A3" w:rsidRPr="008D146A" w:rsidRDefault="00BD18A3" w:rsidP="00BD18A3">
      <w:pPr>
        <w:pStyle w:val="Kop3"/>
        <w:numPr>
          <w:ilvl w:val="0"/>
          <w:numId w:val="7"/>
        </w:numPr>
        <w:ind w:left="426"/>
        <w:rPr>
          <w:lang w:val="nl-NL"/>
        </w:rPr>
      </w:pPr>
      <w:bookmarkStart w:id="45" w:name="_Toc167990466"/>
      <w:r>
        <w:rPr>
          <w:lang w:val="nl-NL"/>
        </w:rPr>
        <w:t>Wettelijk kader</w:t>
      </w:r>
      <w:bookmarkEnd w:id="45"/>
    </w:p>
    <w:p w14:paraId="03C1178C" w14:textId="77777777" w:rsidR="00BD18A3" w:rsidRPr="00712460" w:rsidRDefault="00BD18A3" w:rsidP="00BD18A3">
      <w:pPr>
        <w:pStyle w:val="Kop4"/>
        <w:numPr>
          <w:ilvl w:val="0"/>
          <w:numId w:val="6"/>
        </w:numPr>
        <w:rPr>
          <w:lang w:val="nl-NL"/>
        </w:rPr>
      </w:pPr>
      <w:bookmarkStart w:id="46" w:name="_Toc167990467"/>
      <w:r>
        <w:rPr>
          <w:lang w:val="nl-NL"/>
        </w:rPr>
        <w:t>Huwelijk</w:t>
      </w:r>
      <w:bookmarkEnd w:id="46"/>
    </w:p>
    <w:p w14:paraId="21B109B6" w14:textId="77777777" w:rsidR="00BD18A3" w:rsidRDefault="00BD18A3" w:rsidP="00BD18A3">
      <w:pPr>
        <w:pStyle w:val="Lijstalinea"/>
        <w:numPr>
          <w:ilvl w:val="0"/>
          <w:numId w:val="26"/>
        </w:numPr>
        <w:ind w:left="0" w:firstLine="0"/>
        <w:rPr>
          <w:lang w:val="nl-NL"/>
        </w:rPr>
      </w:pPr>
      <w:r w:rsidRPr="00A526BC">
        <w:rPr>
          <w:lang w:val="nl-NL"/>
        </w:rPr>
        <w:t>Binnen het huidig positiefrechtelijk kader bestaan er reeds mogelijkheden om over te gaan tot ontbinding van het huwelijk. Binnen artikel 227 oud BW zijn er twee wegen om een einde te maken aan het huwelijk door middel van een ontbinding. Enerzijds is het overlijden of de verklaring van afwezigheid</w:t>
      </w:r>
      <w:r>
        <w:rPr>
          <w:rStyle w:val="Voetnootmarkering"/>
          <w:lang w:val="nl-NL"/>
        </w:rPr>
        <w:footnoteReference w:id="97"/>
      </w:r>
      <w:r w:rsidRPr="00A526BC">
        <w:rPr>
          <w:lang w:val="nl-NL"/>
        </w:rPr>
        <w:t xml:space="preserve"> van één van de echtgenoten een oorzaak van de ontbinding van het huwelijk. Anderzijds kan het huwelijk worden ontbonden door echtscheiding.</w:t>
      </w:r>
      <w:r>
        <w:rPr>
          <w:rStyle w:val="Voetnootmarkering"/>
          <w:lang w:val="nl-NL"/>
        </w:rPr>
        <w:footnoteReference w:id="98"/>
      </w:r>
    </w:p>
    <w:p w14:paraId="1FCE5945" w14:textId="77777777" w:rsidR="00BD18A3" w:rsidRDefault="00BD18A3" w:rsidP="00BD18A3">
      <w:pPr>
        <w:pStyle w:val="Lijstalinea"/>
        <w:rPr>
          <w:lang w:val="nl-NL"/>
        </w:rPr>
      </w:pPr>
    </w:p>
    <w:p w14:paraId="4A4370DA" w14:textId="77777777" w:rsidR="00BD18A3" w:rsidRPr="00A526BC" w:rsidRDefault="00BD18A3" w:rsidP="00BD18A3">
      <w:pPr>
        <w:pStyle w:val="Lijstalinea"/>
        <w:numPr>
          <w:ilvl w:val="0"/>
          <w:numId w:val="26"/>
        </w:numPr>
        <w:ind w:left="0" w:firstLine="0"/>
        <w:rPr>
          <w:lang w:val="nl-NL"/>
        </w:rPr>
      </w:pPr>
      <w:r w:rsidRPr="00A526BC">
        <w:rPr>
          <w:lang w:val="nl-NL"/>
        </w:rPr>
        <w:lastRenderedPageBreak/>
        <w:t xml:space="preserve">Om het huwelijk van bepaalde duur te creëren, zou er een derde weg tot ontbinding van het huwelijk gecreëerd kunnen worden binnen artikel 227 oud BW. Dit door binnen dit artikel </w:t>
      </w:r>
      <w:r>
        <w:rPr>
          <w:lang w:val="nl-NL"/>
        </w:rPr>
        <w:t>d</w:t>
      </w:r>
      <w:r w:rsidRPr="00A526BC">
        <w:rPr>
          <w:lang w:val="nl-NL"/>
        </w:rPr>
        <w:t xml:space="preserve">e </w:t>
      </w:r>
      <w:r>
        <w:rPr>
          <w:lang w:val="nl-NL"/>
        </w:rPr>
        <w:t>“</w:t>
      </w:r>
      <w:r w:rsidRPr="00A526BC">
        <w:rPr>
          <w:lang w:val="nl-NL"/>
        </w:rPr>
        <w:t>uitwerking van de uitdovende tijdsbepaling” in te schrijven als volwaardige grond van ontbinding van het huwelijk. Op deze wijze geeft het Burgerlijk Wetboek expliciet erkenning aan de uitdovende tijdsbepaling bij een huwelijk. Hierdoor kan er op rechtsgeldige wijze uitwerking gegeven worden aan de uitdovende tijdsbepaling van het huwelijk. Aldus wordt het huwelijk van bepaalde duur gecreëerd. Deze derde wijze van ontbinding van het huwelijk zal dan bestaan naast de reeds bestaande wijzen van ontbinding binnen artikel 227 oud BW.</w:t>
      </w:r>
    </w:p>
    <w:p w14:paraId="184D2B4C" w14:textId="77777777" w:rsidR="00BD18A3" w:rsidRPr="00D966ED" w:rsidRDefault="00BD18A3" w:rsidP="00BD18A3">
      <w:pPr>
        <w:pStyle w:val="Kop4"/>
        <w:numPr>
          <w:ilvl w:val="0"/>
          <w:numId w:val="6"/>
        </w:numPr>
        <w:rPr>
          <w:lang w:val="nl-NL"/>
        </w:rPr>
      </w:pPr>
      <w:bookmarkStart w:id="47" w:name="_Toc167990468"/>
      <w:r>
        <w:rPr>
          <w:lang w:val="nl-NL"/>
        </w:rPr>
        <w:t>Wettelijke samenwoning</w:t>
      </w:r>
      <w:bookmarkEnd w:id="47"/>
    </w:p>
    <w:p w14:paraId="6382BCC0" w14:textId="77777777" w:rsidR="00BD18A3" w:rsidRPr="00445033" w:rsidRDefault="00BD18A3" w:rsidP="00BD18A3">
      <w:pPr>
        <w:pStyle w:val="Lijstalinea"/>
        <w:numPr>
          <w:ilvl w:val="0"/>
          <w:numId w:val="26"/>
        </w:numPr>
        <w:ind w:left="0" w:firstLine="0"/>
        <w:rPr>
          <w:lang w:val="nl-NL"/>
        </w:rPr>
      </w:pPr>
      <w:r w:rsidRPr="00445033">
        <w:rPr>
          <w:lang w:val="nl-NL"/>
        </w:rPr>
        <w:t>Net zoals voor het huwelijk heeft de wetgever voorzien in een mogelijkheid om over te gaan tot beëindiging van de wettelijke samenwoning. Meer bepaald kan de wettelijke samenwoning in onderlinge overeenstemming of éénzijdig, omschreven in artikel 1476, tweede paragraaf oud BW, worden stopgezet.</w:t>
      </w:r>
      <w:r>
        <w:rPr>
          <w:rStyle w:val="Voetnootmarkering"/>
          <w:lang w:val="nl-NL"/>
        </w:rPr>
        <w:footnoteReference w:id="99"/>
      </w:r>
      <w:r w:rsidRPr="00445033">
        <w:rPr>
          <w:lang w:val="nl-NL"/>
        </w:rPr>
        <w:t xml:space="preserve"> Net zoals bij het huwelijk, zou er een nieuwe grond tot beëindiging van de wettelijke samenwoning kunnen worden overwogen. Dit door naar analogie binnen artikel 1476, tweede paragraaf oud BW, de </w:t>
      </w:r>
      <w:r>
        <w:rPr>
          <w:lang w:val="nl-NL"/>
        </w:rPr>
        <w:t>“</w:t>
      </w:r>
      <w:r w:rsidRPr="00445033">
        <w:rPr>
          <w:lang w:val="nl-NL"/>
        </w:rPr>
        <w:t>uitwerking van de uitdovende tijdsbepaling” aan te nemen als grond tot beëindiging van de wettelijke samenwoning. Hierdoor erkent het Burgerlijk Wetboek de uitdovende tijdsbepaling bij de wettelijke samenwoning en kan er hieraan uitwerking worden gegeven. Dit als volwaardige grond, naast de reeds bestaande mogelijkheden.</w:t>
      </w:r>
    </w:p>
    <w:p w14:paraId="29901028" w14:textId="77777777" w:rsidR="00BD18A3" w:rsidRPr="00D966ED" w:rsidRDefault="00BD18A3" w:rsidP="00BD18A3">
      <w:pPr>
        <w:pStyle w:val="Kop3"/>
        <w:numPr>
          <w:ilvl w:val="0"/>
          <w:numId w:val="7"/>
        </w:numPr>
        <w:ind w:left="426" w:hanging="349"/>
        <w:rPr>
          <w:lang w:val="nl-NL"/>
        </w:rPr>
      </w:pPr>
      <w:bookmarkStart w:id="48" w:name="_Toc167990469"/>
      <w:r>
        <w:rPr>
          <w:lang w:val="nl-NL"/>
        </w:rPr>
        <w:t>Conventioneel kader</w:t>
      </w:r>
      <w:bookmarkEnd w:id="48"/>
    </w:p>
    <w:p w14:paraId="16C8926B" w14:textId="77777777" w:rsidR="00BD18A3" w:rsidRDefault="00BD18A3" w:rsidP="00BD18A3">
      <w:pPr>
        <w:pStyle w:val="Lijstalinea"/>
        <w:numPr>
          <w:ilvl w:val="0"/>
          <w:numId w:val="26"/>
        </w:numPr>
        <w:ind w:left="0" w:firstLine="0"/>
        <w:rPr>
          <w:lang w:val="nl-NL"/>
        </w:rPr>
      </w:pPr>
      <w:r w:rsidRPr="00445033">
        <w:rPr>
          <w:lang w:val="nl-NL"/>
        </w:rPr>
        <w:t>Om het huwelijk en de wettelijke samenwoning van bepaalde duur tot stand te laten komen, is de erkenning van de uitdovende tijdsbepaling bij het huwelijk en de wettelijke samenwoning door het Burgerlijk Wetboek slechts een eerste, doch fundamentele stap. Hierdoor is er een wettelijk kader dat aan de uitdovende tijdsbepaling bij het huwelijk en de wettelijke samenwoning uitwerking geeft. Als tweede stap dient er vervolgens worden uitgespit hoe toekomstige echtgenoten of wettelijk samenwonenden de uitdovende tijdsbepaling op een effectieve manier kunnen bedingen tussen hen. Hiervoor schuilt er zich mogelijkerwijs een opportuniteit binnen de huwelijks- en samenlevingsovereenkomst.</w:t>
      </w:r>
    </w:p>
    <w:p w14:paraId="27A5DC14" w14:textId="77777777" w:rsidR="00BD18A3" w:rsidRDefault="00BD18A3" w:rsidP="00BD18A3">
      <w:pPr>
        <w:pStyle w:val="Lijstalinea"/>
        <w:rPr>
          <w:lang w:val="nl-NL"/>
        </w:rPr>
      </w:pPr>
    </w:p>
    <w:p w14:paraId="20F8B080" w14:textId="77777777" w:rsidR="00BD18A3" w:rsidRDefault="00BD18A3" w:rsidP="00BD18A3">
      <w:pPr>
        <w:pStyle w:val="Lijstalinea"/>
        <w:numPr>
          <w:ilvl w:val="0"/>
          <w:numId w:val="26"/>
        </w:numPr>
        <w:ind w:left="0" w:firstLine="0"/>
        <w:rPr>
          <w:lang w:val="nl-NL"/>
        </w:rPr>
      </w:pPr>
      <w:r w:rsidRPr="00445033">
        <w:rPr>
          <w:lang w:val="nl-NL"/>
        </w:rPr>
        <w:t xml:space="preserve">Binnen het huwelijk fungeert de huwelijksovereenkomst als manier waarop echtgenoten vrij hun huwelijksstelsel kiezen of wijzigen. Dit voor zover zij niets bedingen dat strijdig is met een dwingende regel of met de openbare orde, of met het vereiste van </w:t>
      </w:r>
      <w:r w:rsidRPr="00445033">
        <w:rPr>
          <w:lang w:val="nl-NL"/>
        </w:rPr>
        <w:lastRenderedPageBreak/>
        <w:t>coherentie van hun huwelijksstelsel.</w:t>
      </w:r>
      <w:r>
        <w:rPr>
          <w:rStyle w:val="Voetnootmarkering"/>
          <w:lang w:val="nl-NL"/>
        </w:rPr>
        <w:footnoteReference w:id="100"/>
      </w:r>
      <w:r w:rsidRPr="00445033">
        <w:rPr>
          <w:lang w:val="nl-NL"/>
        </w:rPr>
        <w:t xml:space="preserve"> Op deze wijze kunnen echtgenoten van het wettelijk secundair huwelijksstelsel, het </w:t>
      </w:r>
      <w:r w:rsidRPr="00445033">
        <w:rPr>
          <w:i/>
          <w:iCs/>
          <w:lang w:val="nl-NL"/>
        </w:rPr>
        <w:t>default-</w:t>
      </w:r>
      <w:r w:rsidRPr="00445033">
        <w:rPr>
          <w:lang w:val="nl-NL"/>
        </w:rPr>
        <w:t>regime, afwijken.</w:t>
      </w:r>
      <w:r>
        <w:rPr>
          <w:rStyle w:val="Voetnootmarkering"/>
          <w:lang w:val="nl-NL"/>
        </w:rPr>
        <w:footnoteReference w:id="101"/>
      </w:r>
    </w:p>
    <w:p w14:paraId="7F97F20B" w14:textId="77777777" w:rsidR="00BD18A3" w:rsidRPr="00445033" w:rsidRDefault="00BD18A3" w:rsidP="00BD18A3">
      <w:pPr>
        <w:pStyle w:val="Lijstalinea"/>
        <w:rPr>
          <w:lang w:val="nl-NL"/>
        </w:rPr>
      </w:pPr>
    </w:p>
    <w:p w14:paraId="032D7E25" w14:textId="77777777" w:rsidR="00BD18A3" w:rsidRPr="00445033" w:rsidRDefault="00BD18A3" w:rsidP="00BD18A3">
      <w:pPr>
        <w:pStyle w:val="Lijstalinea"/>
        <w:numPr>
          <w:ilvl w:val="0"/>
          <w:numId w:val="26"/>
        </w:numPr>
        <w:ind w:left="0" w:firstLine="0"/>
        <w:rPr>
          <w:lang w:val="nl-NL"/>
        </w:rPr>
      </w:pPr>
      <w:r w:rsidRPr="00445033">
        <w:rPr>
          <w:lang w:val="nl-NL"/>
        </w:rPr>
        <w:t xml:space="preserve">Wanneer twee personen wettelijke samenwonen, kunnen zij een samenlevingsovereenkomst afsluiten. De wet bepaalt immers dat </w:t>
      </w:r>
      <w:r>
        <w:t>de samenwonenden hun wettelijke samenwoning naar goeddunken regelen door middel van een overeenkomst. Dit voor zover deze overeenkomst geen beding bevat dat strijdig is met de wederzijdse rechten en verplichtingen bij de wettelijke samenwoning</w:t>
      </w:r>
      <w:r>
        <w:rPr>
          <w:rStyle w:val="Voetnootmarkering"/>
        </w:rPr>
        <w:footnoteReference w:id="102"/>
      </w:r>
      <w:r>
        <w:t>, met de openbare orde of de goede zeden, noch met de regels betreffende het ouderlijk gezag en de voogdij, noch met de regels die de wettelijke orde van de erfopvolging bepalen.</w:t>
      </w:r>
      <w:r>
        <w:rPr>
          <w:rStyle w:val="Voetnootmarkering"/>
        </w:rPr>
        <w:footnoteReference w:id="103"/>
      </w:r>
      <w:r>
        <w:t xml:space="preserve"> Er is dus sprake van een zekere contractsvrijheid, doch met wettelijke beperkingen. </w:t>
      </w:r>
      <w:r w:rsidRPr="00445033">
        <w:rPr>
          <w:lang w:val="nl-NL"/>
        </w:rPr>
        <w:t xml:space="preserve">Deze overeenkomst is </w:t>
      </w:r>
      <w:r>
        <w:t>een soort kaderovereenkomst waarin wettelijk samenwonenden de vermogensrechtelijke aspecten van hun samenleving regelen.</w:t>
      </w:r>
      <w:r>
        <w:rPr>
          <w:rStyle w:val="Voetnootmarkering"/>
        </w:rPr>
        <w:footnoteReference w:id="104"/>
      </w:r>
    </w:p>
    <w:p w14:paraId="034D0585" w14:textId="77777777" w:rsidR="00BD18A3" w:rsidRDefault="00BD18A3" w:rsidP="00BD18A3">
      <w:pPr>
        <w:pStyle w:val="Kop4"/>
        <w:numPr>
          <w:ilvl w:val="0"/>
          <w:numId w:val="8"/>
        </w:numPr>
        <w:ind w:left="709"/>
      </w:pPr>
      <w:bookmarkStart w:id="49" w:name="_Toc167990470"/>
      <w:r>
        <w:t>Specifieke overeenkomst</w:t>
      </w:r>
      <w:bookmarkEnd w:id="49"/>
    </w:p>
    <w:p w14:paraId="3CD97C03" w14:textId="77777777" w:rsidR="00BD18A3" w:rsidRDefault="00BD18A3" w:rsidP="00BD18A3">
      <w:pPr>
        <w:pStyle w:val="Lijstalinea"/>
        <w:numPr>
          <w:ilvl w:val="0"/>
          <w:numId w:val="26"/>
        </w:numPr>
        <w:ind w:left="0" w:firstLine="0"/>
        <w:rPr>
          <w:lang w:val="nl-NL"/>
        </w:rPr>
      </w:pPr>
      <w:r w:rsidRPr="00445033">
        <w:rPr>
          <w:lang w:val="nl-NL"/>
        </w:rPr>
        <w:t xml:space="preserve">Desondanks de huwelijks- of samenlevingsovereenkomst tot doel heeft af te wijken van het secundair huwelijks- of </w:t>
      </w:r>
      <w:proofErr w:type="spellStart"/>
      <w:r w:rsidRPr="00445033">
        <w:rPr>
          <w:lang w:val="nl-NL"/>
        </w:rPr>
        <w:t>samenwoningsrecht</w:t>
      </w:r>
      <w:proofErr w:type="spellEnd"/>
      <w:r w:rsidRPr="00445033">
        <w:rPr>
          <w:lang w:val="nl-NL"/>
        </w:rPr>
        <w:t xml:space="preserve"> en dus een vermogensrechtelijke insteek heeft,</w:t>
      </w:r>
      <w:r>
        <w:rPr>
          <w:rStyle w:val="Voetnootmarkering"/>
          <w:lang w:val="nl-NL"/>
        </w:rPr>
        <w:footnoteReference w:id="105"/>
      </w:r>
      <w:r w:rsidRPr="00445033">
        <w:rPr>
          <w:lang w:val="nl-NL"/>
        </w:rPr>
        <w:t xml:space="preserve"> kan dit als inspiratie dienen. Hierin kan de mosterd gezocht worden voor een overeenkomst die de duur van het huwelijk of de wettelijke samenwoning conformeert aan de wensen van de partners. Met andere woorden zou er een nieuwe overeenkomst leven kunnen worden ingeblazen</w:t>
      </w:r>
      <w:r>
        <w:rPr>
          <w:lang w:val="nl-NL"/>
        </w:rPr>
        <w:t>,</w:t>
      </w:r>
      <w:r w:rsidRPr="00445033">
        <w:rPr>
          <w:lang w:val="nl-NL"/>
        </w:rPr>
        <w:t xml:space="preserve"> die specifiek gericht is op het formuleren van een uitdovende tijdsbepaling bij het huwelijk of de wettelijke samenwoning. Deze overeenkomst bevat dus louter de uitdovende tijdsbepaling van het huwelijk en de wettelijke samenwoning. Dergelijke overeenkomst wordt dan gekwalificeerd als contract van bepaalde duur, aangezien het een uitdovende tijdsbepaling bevat.</w:t>
      </w:r>
      <w:r>
        <w:rPr>
          <w:rStyle w:val="Voetnootmarkering"/>
          <w:lang w:val="nl-NL"/>
        </w:rPr>
        <w:footnoteReference w:id="106"/>
      </w:r>
      <w:r w:rsidRPr="00445033">
        <w:rPr>
          <w:lang w:val="nl-NL"/>
        </w:rPr>
        <w:t xml:space="preserve"> </w:t>
      </w:r>
    </w:p>
    <w:p w14:paraId="7E774E81" w14:textId="77777777" w:rsidR="00BD18A3" w:rsidRDefault="00BD18A3" w:rsidP="00BD18A3">
      <w:pPr>
        <w:pStyle w:val="Lijstalinea"/>
        <w:rPr>
          <w:lang w:val="nl-NL"/>
        </w:rPr>
      </w:pPr>
    </w:p>
    <w:p w14:paraId="420BB81A" w14:textId="77777777" w:rsidR="00BD18A3" w:rsidRPr="00445033" w:rsidRDefault="00BD18A3" w:rsidP="00BD18A3">
      <w:pPr>
        <w:pStyle w:val="Lijstalinea"/>
        <w:numPr>
          <w:ilvl w:val="0"/>
          <w:numId w:val="26"/>
        </w:numPr>
        <w:ind w:left="0" w:firstLine="0"/>
        <w:rPr>
          <w:lang w:val="nl-NL"/>
        </w:rPr>
      </w:pPr>
      <w:r w:rsidRPr="00445033">
        <w:rPr>
          <w:lang w:val="nl-NL"/>
        </w:rPr>
        <w:t xml:space="preserve">Aangezien deze verbintenis van bepaalde duur raakt aan het instituut van het huwelijk en de wettelijke samenwoning dienen de respectievelijke vereisten van de huwelijks- en samenlevingsovereenkomst in acht worden genomen. Dit impliceert dat de </w:t>
      </w:r>
      <w:r w:rsidRPr="00445033">
        <w:rPr>
          <w:lang w:val="nl-NL"/>
        </w:rPr>
        <w:lastRenderedPageBreak/>
        <w:t>overeenkomst</w:t>
      </w:r>
      <w:r>
        <w:rPr>
          <w:lang w:val="nl-NL"/>
        </w:rPr>
        <w:t>,</w:t>
      </w:r>
      <w:r w:rsidRPr="00445033">
        <w:rPr>
          <w:lang w:val="nl-NL"/>
        </w:rPr>
        <w:t xml:space="preserve"> die de uitdovende tijdsbepaling bij het huwelijk of de wettelijke samenwoning bevat, op straffe van nietigheid wordt vastgesteld bij notariële akte en geen strijdigheid met het dwingend recht of met de openbare orde mag bevatten.</w:t>
      </w:r>
      <w:r>
        <w:rPr>
          <w:rStyle w:val="Voetnootmarkering"/>
          <w:lang w:val="nl-NL"/>
        </w:rPr>
        <w:footnoteReference w:id="107"/>
      </w:r>
    </w:p>
    <w:p w14:paraId="56A2A66B" w14:textId="77777777" w:rsidR="00BD18A3" w:rsidRDefault="00BD18A3" w:rsidP="00BD18A3">
      <w:pPr>
        <w:pStyle w:val="Kop4"/>
        <w:numPr>
          <w:ilvl w:val="0"/>
          <w:numId w:val="8"/>
        </w:numPr>
        <w:ind w:left="709"/>
        <w:rPr>
          <w:lang w:val="nl-NL"/>
        </w:rPr>
      </w:pPr>
      <w:bookmarkStart w:id="50" w:name="_Toc167990471"/>
      <w:r>
        <w:rPr>
          <w:lang w:val="nl-NL"/>
        </w:rPr>
        <w:t>Huwelijks- of samenlevingsovereenkomst</w:t>
      </w:r>
      <w:bookmarkEnd w:id="50"/>
    </w:p>
    <w:p w14:paraId="38D74311" w14:textId="77777777" w:rsidR="00BD18A3" w:rsidRPr="00445033" w:rsidRDefault="00BD18A3" w:rsidP="00BD18A3">
      <w:pPr>
        <w:pStyle w:val="Lijstalinea"/>
        <w:numPr>
          <w:ilvl w:val="0"/>
          <w:numId w:val="26"/>
        </w:numPr>
        <w:ind w:left="0" w:firstLine="0"/>
        <w:rPr>
          <w:lang w:val="nl-NL"/>
        </w:rPr>
      </w:pPr>
      <w:r w:rsidRPr="00445033">
        <w:rPr>
          <w:lang w:val="nl-NL"/>
        </w:rPr>
        <w:t>Een andere mogelijkheid, waarbij er geen nieuwe overeenkomst in het leven moet worden geroepen, bestaat erin om binnen de huidige huwelijks- of samenlevingsovereenkomst een clausule te voorzien waarin partners kunnen opteren een uitdovende tijdsbepaling op te nemen. In dit scenario is de uitdovende tijdsbepaling een modaliteit van de huwelijks- of samenlevingsovereenkomst. Aangezien deze huwelijks- of samenlevingsovereenkomst voor het overige volledig gelijk loopt aan de gebruikelijke huwelijks- of samenlevingsovereenkomst, zullen dezelfde vereisten van toepassing zijn. Denk hierbij aan de vormvereiste, op straffe van nietigheid, van de notariële akte, het verbod op strijdigheid met regels van dwingend recht, openbare orde of, vereiste van coherentie met het huwelijksstelsel</w:t>
      </w:r>
      <w:r>
        <w:rPr>
          <w:lang w:val="nl-NL"/>
        </w:rPr>
        <w:t xml:space="preserve"> en de</w:t>
      </w:r>
      <w:r w:rsidRPr="00445033">
        <w:rPr>
          <w:lang w:val="nl-NL"/>
        </w:rPr>
        <w:t xml:space="preserve"> strijdig met wederzijdse rechten en verplichtingen van echtgenoten en wettelijk samenwonenden.</w:t>
      </w:r>
      <w:r>
        <w:rPr>
          <w:rStyle w:val="Voetnootmarkering"/>
          <w:lang w:val="nl-NL"/>
        </w:rPr>
        <w:footnoteReference w:id="108"/>
      </w:r>
      <w:r w:rsidRPr="00445033">
        <w:rPr>
          <w:lang w:val="nl-NL"/>
        </w:rPr>
        <w:t xml:space="preserve"> </w:t>
      </w:r>
    </w:p>
    <w:p w14:paraId="3534C81B" w14:textId="77777777" w:rsidR="00BD18A3" w:rsidRDefault="00BD18A3" w:rsidP="00BD18A3">
      <w:pPr>
        <w:rPr>
          <w:lang w:val="nl-NL"/>
        </w:rPr>
      </w:pPr>
    </w:p>
    <w:p w14:paraId="44ED80FC" w14:textId="77777777" w:rsidR="00BD18A3" w:rsidRPr="00445033" w:rsidRDefault="00BD18A3" w:rsidP="00BD18A3">
      <w:pPr>
        <w:pStyle w:val="Lijstalinea"/>
        <w:numPr>
          <w:ilvl w:val="0"/>
          <w:numId w:val="26"/>
        </w:numPr>
        <w:ind w:left="0" w:firstLine="0"/>
        <w:rPr>
          <w:lang w:val="nl-NL"/>
        </w:rPr>
      </w:pPr>
      <w:r w:rsidRPr="00445033">
        <w:rPr>
          <w:lang w:val="nl-NL"/>
        </w:rPr>
        <w:t>De tweede optie, de uitdovende tijdsbepaling als modaliteit van de huwelijks- of samenlevingsovereenkomst lijkt eerder geschikt dan de eerste optie, de specifieke overeenkomst die de uitdovende tijdsbepaling bevat</w:t>
      </w:r>
      <w:r>
        <w:rPr>
          <w:lang w:val="nl-NL"/>
        </w:rPr>
        <w:t>,</w:t>
      </w:r>
      <w:r w:rsidRPr="00445033">
        <w:rPr>
          <w:lang w:val="nl-NL"/>
        </w:rPr>
        <w:t xml:space="preserve"> om het huwelijk en de wettelijke samenwoning van bepaalde duur tot stand te brengen. Aangezien de huwelijks- en samenlevingsovereenkomst al dermate is ingeburgerd, lijkt dit de ideale omgeving waarin de uitdovende tijdsbepaling het best zou gedijen.</w:t>
      </w:r>
    </w:p>
    <w:p w14:paraId="667A20D5" w14:textId="77777777" w:rsidR="00BD18A3" w:rsidRDefault="00BD18A3" w:rsidP="00BD18A3">
      <w:pPr>
        <w:pStyle w:val="Kop2"/>
        <w:rPr>
          <w:lang w:val="nl-NL"/>
        </w:rPr>
      </w:pPr>
      <w:bookmarkStart w:id="51" w:name="_Toc167990472"/>
      <w:r>
        <w:rPr>
          <w:lang w:val="nl-NL"/>
        </w:rPr>
        <w:t>Hoofdstuk 4. Keuze van de duurtijd</w:t>
      </w:r>
      <w:bookmarkEnd w:id="51"/>
    </w:p>
    <w:p w14:paraId="764A6AAF" w14:textId="77777777" w:rsidR="00BD18A3" w:rsidRDefault="00BD18A3" w:rsidP="00BD18A3">
      <w:pPr>
        <w:pStyle w:val="Lijstalinea"/>
        <w:numPr>
          <w:ilvl w:val="0"/>
          <w:numId w:val="26"/>
        </w:numPr>
        <w:ind w:left="0" w:firstLine="0"/>
        <w:rPr>
          <w:lang w:val="nl-NL"/>
        </w:rPr>
      </w:pPr>
      <w:r w:rsidRPr="00CE0E1B">
        <w:rPr>
          <w:lang w:val="nl-NL"/>
        </w:rPr>
        <w:t>In beginsel kunnen toekomstige echtgenoten en wettelijke samenwonenden vrij bepalen voor hoelang hun huwelijk of wettelijke samenwoning van bepaalde duur zal zijn. Ze stipuleren namelijk zelf na hoeveel tijd de uitdovende tijdsbepaling uitwerking krijgt. Echter stelt de wetgever wel dat bij een contract van bepaalde duur, de duur niet langer mag zijn dan wat toegelaten is door de wet. Bij gebrek aan een voorschrift van de wetgever mag de duur negenennegentig jaar niet overschrijden.</w:t>
      </w:r>
      <w:r>
        <w:rPr>
          <w:rStyle w:val="Voetnootmarkering"/>
          <w:lang w:val="nl-NL"/>
        </w:rPr>
        <w:footnoteReference w:id="109"/>
      </w:r>
      <w:r w:rsidRPr="00CE0E1B">
        <w:rPr>
          <w:lang w:val="nl-NL"/>
        </w:rPr>
        <w:t xml:space="preserve"> Dit houdt </w:t>
      </w:r>
      <w:r w:rsidRPr="00CE0E1B">
        <w:rPr>
          <w:i/>
          <w:iCs/>
          <w:lang w:val="nl-NL"/>
        </w:rPr>
        <w:t xml:space="preserve">in </w:t>
      </w:r>
      <w:proofErr w:type="spellStart"/>
      <w:r w:rsidRPr="00CE0E1B">
        <w:rPr>
          <w:i/>
          <w:iCs/>
          <w:lang w:val="nl-NL"/>
        </w:rPr>
        <w:t>concreto</w:t>
      </w:r>
      <w:proofErr w:type="spellEnd"/>
      <w:r w:rsidRPr="00CE0E1B">
        <w:rPr>
          <w:i/>
          <w:iCs/>
          <w:lang w:val="nl-NL"/>
        </w:rPr>
        <w:t xml:space="preserve"> </w:t>
      </w:r>
      <w:r w:rsidRPr="00CE0E1B">
        <w:rPr>
          <w:lang w:val="nl-NL"/>
        </w:rPr>
        <w:t xml:space="preserve">in dat de duur van het huwelijk en de wettelijke samenwoning van bepaalde duur niet langer mag zijn dan negenennegentig jaar. In de praktijk zal dit nauwelijks een rol spelen, aangezien de ratio achter het aangaan van het huwelijk en de wettelijke samenwoning van bepaalde duur juist ligt het ontwijken van de levenslange verbintenis. Het aangaan van een huwelijk </w:t>
      </w:r>
      <w:r w:rsidRPr="00CE0E1B">
        <w:rPr>
          <w:lang w:val="nl-NL"/>
        </w:rPr>
        <w:lastRenderedPageBreak/>
        <w:t xml:space="preserve">of wettelijke samenwoning van meer dan negenennegentig jaar is namelijk </w:t>
      </w:r>
      <w:r w:rsidRPr="00CE0E1B">
        <w:rPr>
          <w:i/>
          <w:iCs/>
          <w:lang w:val="nl-NL"/>
        </w:rPr>
        <w:t>de facto</w:t>
      </w:r>
      <w:r w:rsidRPr="00CE0E1B">
        <w:rPr>
          <w:lang w:val="nl-NL"/>
        </w:rPr>
        <w:t xml:space="preserve"> levenslang.</w:t>
      </w:r>
    </w:p>
    <w:p w14:paraId="1FEBBD94" w14:textId="77777777" w:rsidR="00BD18A3" w:rsidRDefault="00BD18A3" w:rsidP="00BD18A3">
      <w:pPr>
        <w:pStyle w:val="Lijstalinea"/>
        <w:rPr>
          <w:lang w:val="nl-NL"/>
        </w:rPr>
      </w:pPr>
    </w:p>
    <w:p w14:paraId="31D48FF0" w14:textId="77777777" w:rsidR="00BD18A3" w:rsidRPr="003C3A13" w:rsidRDefault="00BD18A3" w:rsidP="00BD18A3">
      <w:pPr>
        <w:pStyle w:val="Lijstalinea"/>
        <w:numPr>
          <w:ilvl w:val="0"/>
          <w:numId w:val="26"/>
        </w:numPr>
        <w:ind w:left="0" w:firstLine="0"/>
        <w:rPr>
          <w:lang w:val="nl-NL"/>
        </w:rPr>
      </w:pPr>
      <w:r w:rsidRPr="00CE0E1B">
        <w:rPr>
          <w:lang w:val="nl-NL"/>
        </w:rPr>
        <w:t xml:space="preserve">Hoewel de wetgever niet voorziet in een minimumduur voor een contract van bepaalde duur lijkt het opportuun dit wel te doen voor het huwelijk en de wettelijke samenwoning van bepaalde duur. Een reëel gevaar schuilt zich namelijk in schijnhuwelijken en </w:t>
      </w:r>
      <w:proofErr w:type="spellStart"/>
      <w:r w:rsidRPr="00CE0E1B">
        <w:rPr>
          <w:lang w:val="nl-NL"/>
        </w:rPr>
        <w:t>schijnwettelijke</w:t>
      </w:r>
      <w:proofErr w:type="spellEnd"/>
      <w:r w:rsidRPr="00CE0E1B">
        <w:rPr>
          <w:lang w:val="nl-NL"/>
        </w:rPr>
        <w:t xml:space="preserve"> samenwoningen. Dit zijn huwelijken en wettelijke samenwoningen die louter gericht zijn op het verkrijgen van een verblijfrechtelijk voordeel. Zoals eerder besproken wordt de bezorgdheid van de wetgever hieromtrent uitdrukkelijk vertaald in het Burgerlijk Wetboek. </w:t>
      </w:r>
      <w:r w:rsidRPr="00323A4A">
        <w:t>Er</w:t>
      </w:r>
      <w:r>
        <w:t xml:space="preserve"> is namelijk</w:t>
      </w:r>
      <w:r w:rsidRPr="00323A4A">
        <w:t xml:space="preserve"> geen huwelijk</w:t>
      </w:r>
      <w:r>
        <w:t xml:space="preserve"> of wettelijke samenwoning</w:t>
      </w:r>
      <w:r w:rsidRPr="00323A4A">
        <w:t xml:space="preserve"> wanneer blijkt dat de intentie van minstens één van de </w:t>
      </w:r>
      <w:r>
        <w:t>partijen</w:t>
      </w:r>
      <w:r w:rsidRPr="00323A4A">
        <w:t xml:space="preserve"> kennelijk enkel </w:t>
      </w:r>
      <w:r>
        <w:t xml:space="preserve">gericht is </w:t>
      </w:r>
      <w:r w:rsidRPr="00323A4A">
        <w:t>op het verkrijgen van een verblijfsrechtelijk voordeel</w:t>
      </w:r>
      <w:r>
        <w:t>,</w:t>
      </w:r>
      <w:r w:rsidRPr="00323A4A">
        <w:t xml:space="preserve"> dat verbonden </w:t>
      </w:r>
      <w:r>
        <w:t xml:space="preserve">is </w:t>
      </w:r>
      <w:r w:rsidRPr="00323A4A">
        <w:t>aan de staat van gehuwde</w:t>
      </w:r>
      <w:r>
        <w:t xml:space="preserve"> of wettelijk samenwonende </w:t>
      </w:r>
      <w:r w:rsidRPr="00CE0E1B">
        <w:rPr>
          <w:lang w:val="nl-NL"/>
        </w:rPr>
        <w:t>(</w:t>
      </w:r>
      <w:r w:rsidRPr="003C3A13">
        <w:rPr>
          <w:i/>
          <w:iCs/>
          <w:lang w:val="nl-NL"/>
        </w:rPr>
        <w:t xml:space="preserve">supra </w:t>
      </w:r>
      <w:r w:rsidRPr="003C3A13">
        <w:rPr>
          <w:lang w:val="nl-NL"/>
        </w:rPr>
        <w:t>randnummer 61 en 62</w:t>
      </w:r>
      <w:r w:rsidRPr="00CE0E1B">
        <w:rPr>
          <w:lang w:val="nl-NL"/>
        </w:rPr>
        <w:t>)</w:t>
      </w:r>
      <w:r>
        <w:t>.</w:t>
      </w:r>
      <w:r>
        <w:rPr>
          <w:rStyle w:val="Voetnootmarkering"/>
        </w:rPr>
        <w:footnoteReference w:id="110"/>
      </w:r>
      <w:r>
        <w:t xml:space="preserve"> Juist omwille van het tijdelijk karakter zou het huwelijk en de wettelijke samenwoning van bepaalde duur de deur naar schijnhuwelijken en schijnwettelijke samenwoningen (verder) kunnen openzetten. </w:t>
      </w:r>
    </w:p>
    <w:p w14:paraId="42A2B45E" w14:textId="77777777" w:rsidR="00BD18A3" w:rsidRDefault="00BD18A3" w:rsidP="00BD18A3">
      <w:pPr>
        <w:pStyle w:val="Lijstalinea"/>
      </w:pPr>
    </w:p>
    <w:p w14:paraId="76EE4D3E" w14:textId="77777777" w:rsidR="00BD18A3" w:rsidRPr="00CE0E1B" w:rsidRDefault="00BD18A3" w:rsidP="00BD18A3">
      <w:pPr>
        <w:pStyle w:val="Lijstalinea"/>
        <w:numPr>
          <w:ilvl w:val="0"/>
          <w:numId w:val="26"/>
        </w:numPr>
        <w:ind w:left="0" w:firstLine="0"/>
        <w:rPr>
          <w:lang w:val="nl-NL"/>
        </w:rPr>
      </w:pPr>
      <w:r>
        <w:t>Om dit tegen te gaan lijkt het raadzaam om een minimumduur aan het huwelijk en de wettelijke samenwoning van bepaalde duur te koppelen. De wetgever zou bij het invoeren van de relatievrom van bepaalde duur een lid kunnen wijden aan de verplichting om een ondergrens aan de uitdovende tijdsbepaling te koppelen. De minimumduur van het huwelijk en de wettelijke samenwoning zou mogelijk ergens tussen de één en de vijf jaar kunnen liggen. Verder specifiek gericht onderzoek in de toekomst zou de meest opportune minimumduur kunnen bepalen. Overigens is de minimumduur niet absoluut. De reeds bestaande wijzen van ontb</w:t>
      </w:r>
      <w:r w:rsidRPr="003C3A13">
        <w:t>inding van het huwelijk of beëindiging van de wettelijke samenwoning tijdens de relatievorm, de voortijdige beëindiging gelden onverkort (</w:t>
      </w:r>
      <w:r w:rsidRPr="003C3A13">
        <w:rPr>
          <w:i/>
          <w:iCs/>
        </w:rPr>
        <w:t xml:space="preserve">infra </w:t>
      </w:r>
      <w:r w:rsidRPr="003C3A13">
        <w:t>randnummer 1</w:t>
      </w:r>
      <w:r>
        <w:t>32</w:t>
      </w:r>
      <w:r w:rsidRPr="003C3A13">
        <w:t xml:space="preserve"> e.v.).</w:t>
      </w:r>
      <w:r w:rsidRPr="003C3A13">
        <w:rPr>
          <w:rStyle w:val="Voetnootmarkering"/>
        </w:rPr>
        <w:footnoteReference w:id="111"/>
      </w:r>
    </w:p>
    <w:p w14:paraId="2F162E39" w14:textId="77777777" w:rsidR="00BD18A3" w:rsidRPr="00FC2151" w:rsidRDefault="00BD18A3" w:rsidP="00BD18A3">
      <w:pPr>
        <w:pStyle w:val="Kop2"/>
        <w:rPr>
          <w:lang w:val="nl-NL"/>
        </w:rPr>
      </w:pPr>
      <w:bookmarkStart w:id="52" w:name="_Toc167990473"/>
      <w:r>
        <w:rPr>
          <w:lang w:val="nl-NL"/>
        </w:rPr>
        <w:t>Hoofdstuk 5. Wederzijdse rechten en verplichtingen</w:t>
      </w:r>
      <w:bookmarkEnd w:id="52"/>
    </w:p>
    <w:p w14:paraId="00F80D5D" w14:textId="77777777" w:rsidR="00BD18A3" w:rsidRDefault="00BD18A3" w:rsidP="00BD18A3">
      <w:pPr>
        <w:pStyle w:val="Lijstalinea"/>
        <w:numPr>
          <w:ilvl w:val="0"/>
          <w:numId w:val="26"/>
        </w:numPr>
        <w:ind w:left="0" w:firstLine="0"/>
        <w:rPr>
          <w:lang w:val="nl-NL"/>
        </w:rPr>
      </w:pPr>
      <w:r w:rsidRPr="00686665">
        <w:rPr>
          <w:lang w:val="nl-NL"/>
        </w:rPr>
        <w:t>Ongeacht of het huwelijk of de wettelijke samenwoning aangegaan is voor onbepaalde duur of voor bepaalde duur, de wederzijdse rechten en verplichtingen van echtgenoten en wettelijke samenwoners zullen onverminderd spelen. Het huwelijk en de wettelijke samenwoning van bepaalde duur garanderen dus gedurende de duurtijd van hun respectievelijk instituut dezelfde rechten en verplichtingen</w:t>
      </w:r>
      <w:r>
        <w:rPr>
          <w:lang w:val="nl-NL"/>
        </w:rPr>
        <w:t>,</w:t>
      </w:r>
      <w:r w:rsidRPr="00686665">
        <w:rPr>
          <w:lang w:val="nl-NL"/>
        </w:rPr>
        <w:t xml:space="preserve"> zoals bepaald onder hoofdstuk vi en titel </w:t>
      </w:r>
      <w:proofErr w:type="spellStart"/>
      <w:r w:rsidRPr="00686665">
        <w:rPr>
          <w:lang w:val="nl-NL"/>
        </w:rPr>
        <w:t>v</w:t>
      </w:r>
      <w:r w:rsidRPr="00686665">
        <w:rPr>
          <w:i/>
          <w:iCs/>
          <w:lang w:val="nl-NL"/>
        </w:rPr>
        <w:t>bis</w:t>
      </w:r>
      <w:proofErr w:type="spellEnd"/>
      <w:r w:rsidRPr="00686665">
        <w:rPr>
          <w:lang w:val="nl-NL"/>
        </w:rPr>
        <w:t xml:space="preserve"> oud BW. Tijdens </w:t>
      </w:r>
      <w:r>
        <w:rPr>
          <w:lang w:val="nl-NL"/>
        </w:rPr>
        <w:t>de relatievorm</w:t>
      </w:r>
      <w:r w:rsidRPr="00686665">
        <w:rPr>
          <w:lang w:val="nl-NL"/>
        </w:rPr>
        <w:t xml:space="preserve"> vallen de rechten en verplichtingen voor de </w:t>
      </w:r>
      <w:r w:rsidRPr="00686665">
        <w:rPr>
          <w:lang w:val="nl-NL"/>
        </w:rPr>
        <w:lastRenderedPageBreak/>
        <w:t>echtgenoten en wettelijke samenwoners van bepaalde duur dus volledig samen met de echtgenoten en wettelijke samenwoners van onbepaalde duur.</w:t>
      </w:r>
    </w:p>
    <w:p w14:paraId="4725554B" w14:textId="77777777" w:rsidR="00BD18A3" w:rsidRDefault="00BD18A3" w:rsidP="00BD18A3">
      <w:pPr>
        <w:pStyle w:val="Lijstalinea"/>
        <w:rPr>
          <w:lang w:val="nl-NL"/>
        </w:rPr>
      </w:pPr>
    </w:p>
    <w:p w14:paraId="7E45F409" w14:textId="77777777" w:rsidR="00BD18A3" w:rsidRPr="004A3EF8" w:rsidRDefault="00BD18A3" w:rsidP="00BD18A3">
      <w:pPr>
        <w:pStyle w:val="Lijstalinea"/>
        <w:numPr>
          <w:ilvl w:val="0"/>
          <w:numId w:val="26"/>
        </w:numPr>
        <w:ind w:left="0" w:firstLine="0"/>
        <w:rPr>
          <w:lang w:val="nl-NL"/>
        </w:rPr>
      </w:pPr>
      <w:r w:rsidRPr="00F12E50">
        <w:rPr>
          <w:lang w:val="nl-NL"/>
        </w:rPr>
        <w:t xml:space="preserve">Een belangrijke waarborg dat het huwelijk en de wettelijke samenwoning garanderen is de bescherming van de gezinswoning en de huisraad ervan. Deze bescherming houdt in dat de ene echtgenoot of wettelijk samenwonende de gezinswoning niet kan vervreemden of met een hypotheek bezwaren zonder de instemming van de andere </w:t>
      </w:r>
      <w:r>
        <w:rPr>
          <w:lang w:val="nl-NL"/>
        </w:rPr>
        <w:t>partner</w:t>
      </w:r>
      <w:r w:rsidRPr="00F12E50">
        <w:rPr>
          <w:lang w:val="nl-NL"/>
        </w:rPr>
        <w:t>. Evenmin kan de aanwezige huisraad worden vervreemd of in pand worden gegeven.</w:t>
      </w:r>
      <w:r>
        <w:rPr>
          <w:rStyle w:val="Voetnootmarkering"/>
          <w:lang w:val="nl-NL"/>
        </w:rPr>
        <w:footnoteReference w:id="112"/>
      </w:r>
      <w:r w:rsidRPr="00F12E50">
        <w:rPr>
          <w:lang w:val="nl-NL"/>
        </w:rPr>
        <w:t xml:space="preserve"> Ook het recht op de huur van het onroerend goed dat de functie van gezinswoning vervult, valt onder de paraplu van de bescherming van de gezinswoning. Het recht op de huur van de gezinswoning komt namelijk aan beide echtgenoten of wettelijk samenwonenden toe. Opzeggingen, kennisgevingen en exploten betreffende die huur dienen dan ook door beide </w:t>
      </w:r>
      <w:r>
        <w:rPr>
          <w:lang w:val="nl-NL"/>
        </w:rPr>
        <w:t>partners</w:t>
      </w:r>
      <w:r w:rsidRPr="00F12E50">
        <w:rPr>
          <w:lang w:val="nl-NL"/>
        </w:rPr>
        <w:t xml:space="preserve"> ondertekend te worden.</w:t>
      </w:r>
      <w:r>
        <w:rPr>
          <w:rStyle w:val="Voetnootmarkering"/>
          <w:lang w:val="nl-NL"/>
        </w:rPr>
        <w:footnoteReference w:id="113"/>
      </w:r>
      <w:r w:rsidRPr="00F12E50">
        <w:rPr>
          <w:lang w:val="nl-NL"/>
        </w:rPr>
        <w:t xml:space="preserve"> Het handelen van één van de echtgenoten of wettelijk samenwonenden in strijd met deze bescherming kan op verzoek van de andere echtgenoot of wettelijk samenwonende nietig worden verklaard. Dit onverminderd de toekenning van een schadevergoeding.</w:t>
      </w:r>
      <w:r>
        <w:rPr>
          <w:rStyle w:val="Voetnootmarkering"/>
          <w:lang w:val="nl-NL"/>
        </w:rPr>
        <w:footnoteReference w:id="114"/>
      </w:r>
      <w:r w:rsidRPr="00F12E50">
        <w:rPr>
          <w:lang w:val="nl-NL"/>
        </w:rPr>
        <w:t xml:space="preserve"> </w:t>
      </w:r>
      <w:r w:rsidRPr="004A3EF8">
        <w:rPr>
          <w:lang w:val="nl-NL"/>
        </w:rPr>
        <w:t>Het huwelijk en de wettelijke samenwoning van bepaalde duur onderschrijven dit recht onverkort.</w:t>
      </w:r>
    </w:p>
    <w:p w14:paraId="5CB0081C" w14:textId="77777777" w:rsidR="00BD18A3" w:rsidRDefault="00BD18A3" w:rsidP="00BD18A3">
      <w:pPr>
        <w:rPr>
          <w:lang w:val="nl-NL"/>
        </w:rPr>
      </w:pPr>
    </w:p>
    <w:p w14:paraId="68340A56" w14:textId="77777777" w:rsidR="00BD18A3" w:rsidRDefault="00BD18A3" w:rsidP="00BD18A3">
      <w:pPr>
        <w:pStyle w:val="Lijstalinea"/>
        <w:numPr>
          <w:ilvl w:val="0"/>
          <w:numId w:val="26"/>
        </w:numPr>
        <w:ind w:left="0" w:firstLine="0"/>
        <w:rPr>
          <w:lang w:val="nl-NL"/>
        </w:rPr>
      </w:pPr>
      <w:r w:rsidRPr="00F12E50">
        <w:rPr>
          <w:lang w:val="nl-NL"/>
        </w:rPr>
        <w:t>Een belangrijke verplichting dat verbonden is aan het statuut van het huwelijk en de wettelijke samenwoning houdt in dat echtgenoten en wettelijke samenwoners naar evenredigheid bijdragen in de lasten van het respectievelijk huwelijk en de wettelijke samenwoning.</w:t>
      </w:r>
      <w:r>
        <w:rPr>
          <w:rStyle w:val="Voetnootmarkering"/>
          <w:lang w:val="nl-NL"/>
        </w:rPr>
        <w:footnoteReference w:id="115"/>
      </w:r>
      <w:r>
        <w:rPr>
          <w:lang w:val="nl-NL"/>
        </w:rPr>
        <w:t xml:space="preserve"> </w:t>
      </w:r>
      <w:r w:rsidRPr="00710A68">
        <w:rPr>
          <w:lang w:val="nl-NL"/>
        </w:rPr>
        <w:t>De verplichting van het bijdragen in de lasten geldt onverminderd voor het huwelijk en de wettelijke samenwoning van bepaalde duur.</w:t>
      </w:r>
    </w:p>
    <w:p w14:paraId="2F7D8239" w14:textId="77777777" w:rsidR="00BD18A3" w:rsidRDefault="00BD18A3" w:rsidP="00BD18A3">
      <w:pPr>
        <w:pStyle w:val="Lijstalinea"/>
        <w:rPr>
          <w:lang w:val="nl-NL"/>
        </w:rPr>
      </w:pPr>
    </w:p>
    <w:p w14:paraId="7CF99DA5" w14:textId="77777777" w:rsidR="00BD18A3" w:rsidRPr="004A3EF8" w:rsidRDefault="00BD18A3" w:rsidP="00BD18A3">
      <w:pPr>
        <w:pStyle w:val="Lijstalinea"/>
        <w:numPr>
          <w:ilvl w:val="0"/>
          <w:numId w:val="26"/>
        </w:numPr>
        <w:ind w:left="0" w:firstLine="0"/>
        <w:rPr>
          <w:lang w:val="nl-NL"/>
        </w:rPr>
      </w:pPr>
      <w:r w:rsidRPr="00710A68">
        <w:rPr>
          <w:lang w:val="nl-NL"/>
        </w:rPr>
        <w:t>Een ander belangrijk principe dat echtgenoten en wettelijke samenwoners in acht moeten nemen, is het beginsel van de hoofdelijke gehoudenheid voor gezinsschulden. De wetgever gaat ervan uit dat elke schuld ten behoeve van de huishouding en de opvoeding van de kinderen, ook al is deze maar aangegaan door één van de echtgenoten of wettelijke samenwoners, een gezamenlijke</w:t>
      </w:r>
      <w:r>
        <w:rPr>
          <w:lang w:val="nl-NL"/>
        </w:rPr>
        <w:t xml:space="preserve"> schuld</w:t>
      </w:r>
      <w:r w:rsidRPr="00710A68">
        <w:rPr>
          <w:lang w:val="nl-NL"/>
        </w:rPr>
        <w:t xml:space="preserve"> is. Dit resulteert in het feit dat de echtgenoot of wettelijk samenwonende</w:t>
      </w:r>
      <w:r>
        <w:rPr>
          <w:lang w:val="nl-NL"/>
        </w:rPr>
        <w:t>,</w:t>
      </w:r>
      <w:r w:rsidRPr="00710A68">
        <w:rPr>
          <w:lang w:val="nl-NL"/>
        </w:rPr>
        <w:t xml:space="preserve"> die de schuld niet is aangegaan toch hoofdelijk aansprakelijk kan worden gesteld. Echter geldt dit principe niet voor schulden aangegaan</w:t>
      </w:r>
      <w:r>
        <w:rPr>
          <w:lang w:val="nl-NL"/>
        </w:rPr>
        <w:t xml:space="preserve"> </w:t>
      </w:r>
      <w:r w:rsidRPr="00710A68">
        <w:rPr>
          <w:lang w:val="nl-NL"/>
        </w:rPr>
        <w:t>die</w:t>
      </w:r>
      <w:r>
        <w:rPr>
          <w:lang w:val="nl-NL"/>
        </w:rPr>
        <w:t>,</w:t>
      </w:r>
      <w:r w:rsidRPr="00710A68">
        <w:rPr>
          <w:lang w:val="nl-NL"/>
        </w:rPr>
        <w:t xml:space="preserve"> gelet op de bestaansmiddelen, buitensporig zijn.</w:t>
      </w:r>
      <w:r>
        <w:rPr>
          <w:rStyle w:val="Voetnootmarkering"/>
          <w:lang w:val="nl-NL"/>
        </w:rPr>
        <w:footnoteReference w:id="116"/>
      </w:r>
      <w:r>
        <w:rPr>
          <w:lang w:val="nl-NL"/>
        </w:rPr>
        <w:t xml:space="preserve"> </w:t>
      </w:r>
      <w:r w:rsidRPr="004A3EF8">
        <w:rPr>
          <w:lang w:val="nl-NL"/>
        </w:rPr>
        <w:t>Het beginsel van de hoofdelijke gehoudenheid voor gezinsschulden tussen echtgenoten en wettelijke samenwoners geldt onverkort voor het huwelijk en de wettelijke samenwoning van bepaalde duur.</w:t>
      </w:r>
    </w:p>
    <w:p w14:paraId="0F21B416" w14:textId="77777777" w:rsidR="00BD18A3" w:rsidRDefault="00BD18A3" w:rsidP="00BD18A3">
      <w:pPr>
        <w:rPr>
          <w:lang w:val="nl-NL"/>
        </w:rPr>
      </w:pPr>
    </w:p>
    <w:p w14:paraId="1B066E43" w14:textId="77777777" w:rsidR="00BD18A3" w:rsidRDefault="00BD18A3" w:rsidP="00BD18A3">
      <w:pPr>
        <w:pStyle w:val="Lijstalinea"/>
        <w:numPr>
          <w:ilvl w:val="0"/>
          <w:numId w:val="26"/>
        </w:numPr>
        <w:ind w:left="0" w:firstLine="0"/>
        <w:rPr>
          <w:lang w:val="nl-NL"/>
        </w:rPr>
      </w:pPr>
      <w:r w:rsidRPr="0089177F">
        <w:rPr>
          <w:lang w:val="nl-NL"/>
        </w:rPr>
        <w:t>Ook de hulp- en bijstandsverplichting</w:t>
      </w:r>
      <w:r>
        <w:rPr>
          <w:rStyle w:val="Voetnootmarkering"/>
          <w:lang w:val="nl-NL"/>
        </w:rPr>
        <w:footnoteReference w:id="117"/>
      </w:r>
      <w:r w:rsidRPr="0089177F">
        <w:rPr>
          <w:lang w:val="nl-NL"/>
        </w:rPr>
        <w:t xml:space="preserve">, dewelke specifiek is aan het huwelijk, zal onverminderd zijn rol uitoefenen bij het huwelijk van bepaalde duur. Hierdoor zal de mogelijkheid tot het vorderen van een </w:t>
      </w:r>
      <w:r>
        <w:rPr>
          <w:lang w:val="nl-NL"/>
        </w:rPr>
        <w:t>alimentatie tussen ex-echtgenoten</w:t>
      </w:r>
      <w:r w:rsidRPr="0089177F">
        <w:rPr>
          <w:lang w:val="nl-NL"/>
        </w:rPr>
        <w:t xml:space="preserve"> ook voor het huwelijk van bepaalde duur bestaan. De onderhoudsbijdrage vindt namelijk zijn legitimiteit in de hulp- en bijdrageverplichting</w:t>
      </w:r>
      <w:r>
        <w:rPr>
          <w:lang w:val="nl-NL"/>
        </w:rPr>
        <w:t xml:space="preserve"> (</w:t>
      </w:r>
      <w:r w:rsidRPr="00867E88">
        <w:rPr>
          <w:i/>
          <w:iCs/>
          <w:lang w:val="nl-NL"/>
        </w:rPr>
        <w:t>infra</w:t>
      </w:r>
      <w:r w:rsidRPr="00867E88">
        <w:rPr>
          <w:lang w:val="nl-NL"/>
        </w:rPr>
        <w:t xml:space="preserve"> randnummer</w:t>
      </w:r>
      <w:r>
        <w:rPr>
          <w:lang w:val="nl-NL"/>
        </w:rPr>
        <w:t xml:space="preserve"> 148 e.v.</w:t>
      </w:r>
      <w:r w:rsidRPr="0089177F">
        <w:rPr>
          <w:lang w:val="nl-NL"/>
        </w:rPr>
        <w:t>)</w:t>
      </w:r>
      <w:r>
        <w:rPr>
          <w:lang w:val="nl-NL"/>
        </w:rPr>
        <w:t>.</w:t>
      </w:r>
    </w:p>
    <w:p w14:paraId="60C0B1A4" w14:textId="77777777" w:rsidR="00BD18A3" w:rsidRDefault="00BD18A3" w:rsidP="00BD18A3">
      <w:pPr>
        <w:pStyle w:val="Lijstalinea"/>
        <w:rPr>
          <w:lang w:val="nl-NL"/>
        </w:rPr>
      </w:pPr>
    </w:p>
    <w:p w14:paraId="5B6BCE59" w14:textId="77777777" w:rsidR="00BD18A3" w:rsidRPr="0089177F" w:rsidRDefault="00BD18A3" w:rsidP="00BD18A3">
      <w:pPr>
        <w:pStyle w:val="Lijstalinea"/>
        <w:numPr>
          <w:ilvl w:val="0"/>
          <w:numId w:val="26"/>
        </w:numPr>
        <w:ind w:left="0" w:firstLine="0"/>
        <w:rPr>
          <w:lang w:val="nl-NL"/>
        </w:rPr>
      </w:pPr>
      <w:r w:rsidRPr="0089177F">
        <w:rPr>
          <w:lang w:val="nl-NL"/>
        </w:rPr>
        <w:t xml:space="preserve">Deze korte uiteenzetting dient louter als een exemplarische opsomming gezien te worden van wederzijdse rechten en plichten van echtgenoten en wettelijk samenwonenden. Dit omwille van de prominente rol die deze selectie van rechten en plichten vervullen bij het huwelijk en de wettelijke samenwoning. Het is dus van belang om te benadrukken dat alle wederzijdse rechten en plichten voor echtgenoten opgenomen in het oud Burgerlijk Wetboek onder hoofdstuk vi en voor wettelijk samenwonenden onder titel </w:t>
      </w:r>
      <w:proofErr w:type="spellStart"/>
      <w:r w:rsidRPr="0089177F">
        <w:rPr>
          <w:lang w:val="nl-NL"/>
        </w:rPr>
        <w:t>v</w:t>
      </w:r>
      <w:r w:rsidRPr="0089177F">
        <w:rPr>
          <w:i/>
          <w:iCs/>
          <w:lang w:val="nl-NL"/>
        </w:rPr>
        <w:t>bis</w:t>
      </w:r>
      <w:proofErr w:type="spellEnd"/>
      <w:r w:rsidRPr="0089177F">
        <w:rPr>
          <w:lang w:val="nl-NL"/>
        </w:rPr>
        <w:t>, artikel 1477, onverkort gelden voor het huwelijk en de wettelijke samenwoning van bepaalde duur.</w:t>
      </w:r>
    </w:p>
    <w:p w14:paraId="51D80A24" w14:textId="77777777" w:rsidR="00BD18A3" w:rsidRDefault="00BD18A3" w:rsidP="00BD18A3">
      <w:pPr>
        <w:pStyle w:val="Kop2"/>
        <w:jc w:val="left"/>
        <w:rPr>
          <w:lang w:val="nl-NL"/>
        </w:rPr>
      </w:pPr>
      <w:bookmarkStart w:id="53" w:name="_Toc167990474"/>
      <w:r>
        <w:rPr>
          <w:lang w:val="nl-NL"/>
        </w:rPr>
        <w:t>Hoofdstuk 6. Actoren en hun takenpakket</w:t>
      </w:r>
      <w:bookmarkEnd w:id="53"/>
    </w:p>
    <w:p w14:paraId="6809F0CD" w14:textId="77777777" w:rsidR="00BD18A3" w:rsidRDefault="00BD18A3" w:rsidP="00BD18A3">
      <w:pPr>
        <w:pStyle w:val="Lijstalinea"/>
        <w:numPr>
          <w:ilvl w:val="0"/>
          <w:numId w:val="26"/>
        </w:numPr>
        <w:ind w:left="0" w:firstLine="0"/>
        <w:rPr>
          <w:lang w:val="nl-NL"/>
        </w:rPr>
      </w:pPr>
      <w:r w:rsidRPr="004A3EF8">
        <w:rPr>
          <w:lang w:val="nl-NL"/>
        </w:rPr>
        <w:t>De notaris kan reeds een wezenlijke bijdrage leveren bij het aangaan van het huwelijk en de wettelijke samenwoning, door middel van het opstellen van de huwelijks- of samenlevingsovereenkomst. Alle huwelijks- en samenlevingsovereenkomsten worden immers bij notariële akte vastgesteld.</w:t>
      </w:r>
      <w:r>
        <w:rPr>
          <w:rStyle w:val="Voetnootmarkering"/>
          <w:lang w:val="nl-NL"/>
        </w:rPr>
        <w:footnoteReference w:id="118"/>
      </w:r>
      <w:r w:rsidRPr="004A3EF8">
        <w:rPr>
          <w:lang w:val="nl-NL"/>
        </w:rPr>
        <w:t xml:space="preserve"> </w:t>
      </w:r>
    </w:p>
    <w:p w14:paraId="6067CDA0" w14:textId="77777777" w:rsidR="00BD18A3" w:rsidRDefault="00BD18A3" w:rsidP="00BD18A3">
      <w:pPr>
        <w:pStyle w:val="Lijstalinea"/>
        <w:rPr>
          <w:lang w:val="nl-NL"/>
        </w:rPr>
      </w:pPr>
    </w:p>
    <w:p w14:paraId="09485536" w14:textId="77777777" w:rsidR="00BD18A3" w:rsidRDefault="00BD18A3" w:rsidP="00BD18A3">
      <w:pPr>
        <w:pStyle w:val="Lijstalinea"/>
        <w:numPr>
          <w:ilvl w:val="0"/>
          <w:numId w:val="26"/>
        </w:numPr>
        <w:ind w:left="0" w:firstLine="0"/>
        <w:rPr>
          <w:lang w:val="nl-NL"/>
        </w:rPr>
      </w:pPr>
      <w:r w:rsidRPr="004A3EF8">
        <w:rPr>
          <w:lang w:val="nl-NL"/>
        </w:rPr>
        <w:t xml:space="preserve">De rechter en de ambtenaar van de burgerlijke stand spelen dan weer een onmisbare rol bij de ontbinding van het huwelijk en de beëindiging van de wettelijke samenwoning. </w:t>
      </w:r>
    </w:p>
    <w:p w14:paraId="36F9A32D" w14:textId="77777777" w:rsidR="00BD18A3" w:rsidRPr="00867E88" w:rsidRDefault="00BD18A3" w:rsidP="00BD18A3">
      <w:pPr>
        <w:pStyle w:val="Lijstalinea"/>
        <w:rPr>
          <w:lang w:val="nl-NL"/>
        </w:rPr>
      </w:pPr>
    </w:p>
    <w:p w14:paraId="21F5D5C8" w14:textId="77777777" w:rsidR="00BD18A3" w:rsidRPr="004A3EF8" w:rsidRDefault="00BD18A3" w:rsidP="00BD18A3">
      <w:pPr>
        <w:pStyle w:val="Lijstalinea"/>
        <w:numPr>
          <w:ilvl w:val="0"/>
          <w:numId w:val="26"/>
        </w:numPr>
        <w:ind w:left="0" w:firstLine="0"/>
        <w:rPr>
          <w:lang w:val="nl-NL"/>
        </w:rPr>
      </w:pPr>
      <w:r w:rsidRPr="004A3EF8">
        <w:rPr>
          <w:lang w:val="nl-NL"/>
        </w:rPr>
        <w:t>Welke rol is er weggelegd in de toekomst voor de notaris bij het aangaan van het huwelijk en de wettelijke samenwoning van bepaalde duur? En is er nog een rol weggelegd voor de rechter en de ambtenaar van de burgerlijke stand bij de respectievelijke ontbinding en beëindiging van het huwelijk en de wettelijke samenwoning van bepaalde duur?</w:t>
      </w:r>
    </w:p>
    <w:p w14:paraId="6F172ABA" w14:textId="77777777" w:rsidR="00BD18A3" w:rsidRDefault="00BD18A3" w:rsidP="00BD18A3">
      <w:pPr>
        <w:pStyle w:val="Kop3"/>
        <w:numPr>
          <w:ilvl w:val="0"/>
          <w:numId w:val="4"/>
        </w:numPr>
        <w:ind w:left="426"/>
        <w:rPr>
          <w:lang w:val="nl-NL"/>
        </w:rPr>
      </w:pPr>
      <w:bookmarkStart w:id="54" w:name="_Toc167990475"/>
      <w:r>
        <w:rPr>
          <w:lang w:val="nl-NL"/>
        </w:rPr>
        <w:t>Rol van de notaris</w:t>
      </w:r>
      <w:bookmarkEnd w:id="54"/>
    </w:p>
    <w:p w14:paraId="66CF0FF0" w14:textId="77777777" w:rsidR="00BD18A3" w:rsidRDefault="00BD18A3" w:rsidP="00BD18A3">
      <w:pPr>
        <w:pStyle w:val="Lijstalinea"/>
        <w:numPr>
          <w:ilvl w:val="0"/>
          <w:numId w:val="26"/>
        </w:numPr>
        <w:ind w:left="0" w:firstLine="0"/>
        <w:rPr>
          <w:lang w:val="nl-NL"/>
        </w:rPr>
      </w:pPr>
      <w:r w:rsidRPr="00CC573C">
        <w:rPr>
          <w:lang w:val="nl-NL"/>
        </w:rPr>
        <w:t>Zoals eerder vermeld zou de bepaalde duur van het huwelijk en dat van de wettelijke samenwoning</w:t>
      </w:r>
      <w:r>
        <w:rPr>
          <w:lang w:val="nl-NL"/>
        </w:rPr>
        <w:t xml:space="preserve"> </w:t>
      </w:r>
      <w:r w:rsidRPr="00CC573C">
        <w:rPr>
          <w:lang w:val="nl-NL"/>
        </w:rPr>
        <w:t>respectievelijk bedongen kunnen worden</w:t>
      </w:r>
      <w:r>
        <w:rPr>
          <w:lang w:val="nl-NL"/>
        </w:rPr>
        <w:t>, door middel van een uitdovende tijdsbepaling</w:t>
      </w:r>
      <w:r w:rsidRPr="00CC573C">
        <w:rPr>
          <w:lang w:val="nl-NL"/>
        </w:rPr>
        <w:t xml:space="preserve">. Dit door </w:t>
      </w:r>
      <w:r>
        <w:rPr>
          <w:lang w:val="nl-NL"/>
        </w:rPr>
        <w:t>deze te implementeren als</w:t>
      </w:r>
      <w:r w:rsidRPr="00CC573C">
        <w:rPr>
          <w:lang w:val="nl-NL"/>
        </w:rPr>
        <w:t xml:space="preserve"> clausule in de huwelijks- of samenlevingsovereenkomst of middels een specifieke overeenkomst die de uitdovende </w:t>
      </w:r>
      <w:r w:rsidRPr="00CC573C">
        <w:rPr>
          <w:lang w:val="nl-NL"/>
        </w:rPr>
        <w:lastRenderedPageBreak/>
        <w:t>tijdsbepaling bevat, gelijkend op de reeds bestaande huwelijks- of samenlevingsovereenkomst (</w:t>
      </w:r>
      <w:r w:rsidRPr="00A53063">
        <w:rPr>
          <w:i/>
          <w:iCs/>
          <w:lang w:val="nl-NL"/>
        </w:rPr>
        <w:t>supra</w:t>
      </w:r>
      <w:r>
        <w:rPr>
          <w:lang w:val="nl-NL"/>
        </w:rPr>
        <w:t xml:space="preserve"> randnummer 73 e.v.).</w:t>
      </w:r>
      <w:r w:rsidRPr="00CC573C">
        <w:rPr>
          <w:lang w:val="nl-NL"/>
        </w:rPr>
        <w:t xml:space="preserve"> In beide gevallen zal de notaris hierbij een cruciale rol spelen.</w:t>
      </w:r>
    </w:p>
    <w:p w14:paraId="30A35975" w14:textId="77777777" w:rsidR="00BD18A3" w:rsidRDefault="00BD18A3" w:rsidP="00BD18A3">
      <w:pPr>
        <w:pStyle w:val="Lijstalinea"/>
        <w:rPr>
          <w:lang w:val="nl-NL"/>
        </w:rPr>
      </w:pPr>
    </w:p>
    <w:p w14:paraId="05ABAD3B" w14:textId="77777777" w:rsidR="00BD18A3" w:rsidRDefault="00BD18A3" w:rsidP="00BD18A3">
      <w:pPr>
        <w:pStyle w:val="Lijstalinea"/>
        <w:numPr>
          <w:ilvl w:val="0"/>
          <w:numId w:val="26"/>
        </w:numPr>
        <w:ind w:left="0" w:firstLine="0"/>
        <w:rPr>
          <w:lang w:val="nl-NL"/>
        </w:rPr>
      </w:pPr>
      <w:r w:rsidRPr="00CC573C">
        <w:rPr>
          <w:lang w:val="nl-NL"/>
        </w:rPr>
        <w:t>Thans heeft de wetgever voor het huwelijk reeds uitdrukkelijk voorzien in een informatieplicht die rust op de notaris. Dit voor een beding van verrekening van aanwinsten en voor de facultatieve rechterlijke billijkheidscorrectie, beide bij een stelsel van scheiding van goederen. Deze bepalingen stellen expliciet dat de notaris ieder van de echtgenoten op de juridische gevolgen dient te wijzen bij het al dan niet opnemen van dergelijk beding.</w:t>
      </w:r>
      <w:r>
        <w:rPr>
          <w:rStyle w:val="Voetnootmarkering"/>
          <w:lang w:val="nl-NL"/>
        </w:rPr>
        <w:footnoteReference w:id="119"/>
      </w:r>
    </w:p>
    <w:p w14:paraId="26216E1A" w14:textId="77777777" w:rsidR="00BD18A3" w:rsidRPr="00B54313" w:rsidRDefault="00BD18A3" w:rsidP="00BD18A3">
      <w:pPr>
        <w:pStyle w:val="Lijstalinea"/>
        <w:rPr>
          <w:lang w:val="nl-NL"/>
        </w:rPr>
      </w:pPr>
    </w:p>
    <w:p w14:paraId="6B89A1BA" w14:textId="77777777" w:rsidR="00BD18A3" w:rsidRDefault="00BD18A3" w:rsidP="00BD18A3">
      <w:pPr>
        <w:pStyle w:val="Lijstalinea"/>
        <w:numPr>
          <w:ilvl w:val="0"/>
          <w:numId w:val="26"/>
        </w:numPr>
        <w:ind w:left="0" w:firstLine="0"/>
        <w:rPr>
          <w:lang w:val="nl-NL"/>
        </w:rPr>
      </w:pPr>
      <w:r w:rsidRPr="00B54313">
        <w:rPr>
          <w:lang w:val="nl-NL"/>
        </w:rPr>
        <w:t>Aangaande de wettelijke samenwoning is er geen specifieke informatieplicht in de wet ingeschreven. Dit maakt dat de notaris vandaag louter gehouden is tot de algemene informatieplicht. Deze verplichting bestaat erin dat de notaris elke partij altijd en volledig inlicht over de rechten, verplichtingen en lasten die voortvloeien uit de rechtshandelingen waarbij zij betrokken zijn en waarbij de notaris aan alle partijen op onpartijdige wijze raad geeft.</w:t>
      </w:r>
      <w:r>
        <w:rPr>
          <w:rStyle w:val="Voetnootmarkering"/>
          <w:lang w:val="nl-NL"/>
        </w:rPr>
        <w:footnoteReference w:id="120"/>
      </w:r>
    </w:p>
    <w:p w14:paraId="1A0E44F3" w14:textId="77777777" w:rsidR="00BD18A3" w:rsidRPr="00B54313" w:rsidRDefault="00BD18A3" w:rsidP="00BD18A3">
      <w:pPr>
        <w:pStyle w:val="Lijstalinea"/>
        <w:rPr>
          <w:lang w:val="nl-NL"/>
        </w:rPr>
      </w:pPr>
    </w:p>
    <w:p w14:paraId="3077D2CE" w14:textId="77777777" w:rsidR="00BD18A3" w:rsidRPr="00B54313" w:rsidRDefault="00BD18A3" w:rsidP="00BD18A3">
      <w:pPr>
        <w:pStyle w:val="Lijstalinea"/>
        <w:numPr>
          <w:ilvl w:val="0"/>
          <w:numId w:val="26"/>
        </w:numPr>
        <w:ind w:left="0" w:firstLine="0"/>
        <w:rPr>
          <w:lang w:val="nl-NL"/>
        </w:rPr>
      </w:pPr>
      <w:r w:rsidRPr="00B54313">
        <w:rPr>
          <w:lang w:val="nl-NL"/>
        </w:rPr>
        <w:t>Dergelijke uitdrukkelijke bepaling, zoals voorzien voor bepaalde bedingen bij het huwelijk, zou navolging kunnen krijgen voor het bedingen van zowel het huwelijk als de wettelijke samenwoning van bepaalde duur. Dit door middel van het wettelijk voorzien in een uitdrukkelijke informatieplicht voor de notaris bij het opstellen van de uitdovende tijdsbepaling in de huwelijks- of samenlevingsovereenkomst of bij de specifieke overeenkomst die de uitdovende tijdsbepaling bevat (</w:t>
      </w:r>
      <w:r w:rsidRPr="00B54313">
        <w:rPr>
          <w:i/>
          <w:iCs/>
          <w:lang w:val="nl-NL"/>
        </w:rPr>
        <w:t>supra</w:t>
      </w:r>
      <w:r w:rsidRPr="00B54313">
        <w:rPr>
          <w:lang w:val="nl-NL"/>
        </w:rPr>
        <w:t xml:space="preserve"> </w:t>
      </w:r>
      <w:r>
        <w:rPr>
          <w:lang w:val="nl-NL"/>
        </w:rPr>
        <w:t xml:space="preserve">randnummer 73 e.v.). </w:t>
      </w:r>
      <w:r w:rsidRPr="00B54313">
        <w:rPr>
          <w:lang w:val="nl-NL"/>
        </w:rPr>
        <w:t>Hierdoor rust er een informatieplicht op de notaris om de toekomstige echtgenoten of wettelijk samenwonenden expliciet te wijzen op de juridische gevolgen bij de keuze voor het huwelijk of wettelijke samenwoning van bepaalde duur.</w:t>
      </w:r>
    </w:p>
    <w:p w14:paraId="7FDEE8F9" w14:textId="77777777" w:rsidR="00BD18A3" w:rsidRDefault="00BD18A3" w:rsidP="00BD18A3">
      <w:pPr>
        <w:pStyle w:val="Kop3"/>
        <w:numPr>
          <w:ilvl w:val="0"/>
          <w:numId w:val="4"/>
        </w:numPr>
        <w:ind w:left="426"/>
        <w:rPr>
          <w:lang w:val="nl-NL"/>
        </w:rPr>
      </w:pPr>
      <w:bookmarkStart w:id="55" w:name="_Toc167990476"/>
      <w:r>
        <w:rPr>
          <w:lang w:val="nl-NL"/>
        </w:rPr>
        <w:t>Rol van rechter en ambtenaar burgerlijke stand</w:t>
      </w:r>
      <w:bookmarkEnd w:id="55"/>
    </w:p>
    <w:p w14:paraId="259C84E1" w14:textId="77777777" w:rsidR="00BD18A3" w:rsidRDefault="00BD18A3" w:rsidP="00BD18A3">
      <w:pPr>
        <w:pStyle w:val="Lijstalinea"/>
        <w:numPr>
          <w:ilvl w:val="0"/>
          <w:numId w:val="26"/>
        </w:numPr>
        <w:ind w:left="0" w:firstLine="0"/>
        <w:rPr>
          <w:lang w:val="nl-NL"/>
        </w:rPr>
      </w:pPr>
      <w:r w:rsidRPr="00B54313">
        <w:rPr>
          <w:lang w:val="nl-NL"/>
        </w:rPr>
        <w:t>Zoals eerder vernoemd wordt het huwelijk ontbonden door de dood of verklaring van afwezigheid van één van de echtgenoten</w:t>
      </w:r>
      <w:r>
        <w:rPr>
          <w:lang w:val="nl-NL"/>
        </w:rPr>
        <w:t xml:space="preserve">. </w:t>
      </w:r>
      <w:r w:rsidRPr="00B54313">
        <w:rPr>
          <w:lang w:val="nl-NL"/>
        </w:rPr>
        <w:t>Een andere mogelijkheid om het huwelijk te ontbinden is de echtscheiding</w:t>
      </w:r>
      <w:r>
        <w:rPr>
          <w:lang w:val="nl-NL"/>
        </w:rPr>
        <w:t xml:space="preserve"> </w:t>
      </w:r>
      <w:r w:rsidRPr="00B54313">
        <w:rPr>
          <w:lang w:val="nl-NL"/>
        </w:rPr>
        <w:t>(</w:t>
      </w:r>
      <w:r w:rsidRPr="00BD1EE8">
        <w:rPr>
          <w:i/>
          <w:iCs/>
          <w:lang w:val="nl-NL"/>
        </w:rPr>
        <w:t>supra</w:t>
      </w:r>
      <w:r w:rsidRPr="00BD1EE8">
        <w:rPr>
          <w:lang w:val="nl-NL"/>
        </w:rPr>
        <w:t xml:space="preserve"> randnummer 67</w:t>
      </w:r>
      <w:r>
        <w:rPr>
          <w:lang w:val="nl-NL"/>
        </w:rPr>
        <w:t>).</w:t>
      </w:r>
      <w:r>
        <w:rPr>
          <w:rStyle w:val="Voetnootmarkering"/>
          <w:lang w:val="nl-NL"/>
        </w:rPr>
        <w:footnoteReference w:id="121"/>
      </w:r>
      <w:r w:rsidRPr="00B54313">
        <w:rPr>
          <w:lang w:val="nl-NL"/>
        </w:rPr>
        <w:t xml:space="preserve"> De echtscheiding in het wettelijk landschap van vandaag kan enkel worden uitgesproken door de rechter. Dit wanneer deze vaststelt dat het huwelijk onherstelbaar ontwricht is</w:t>
      </w:r>
      <w:r>
        <w:rPr>
          <w:lang w:val="nl-NL"/>
        </w:rPr>
        <w:t xml:space="preserve"> of bij onderlinge toestemming</w:t>
      </w:r>
      <w:r w:rsidRPr="00B54313">
        <w:rPr>
          <w:lang w:val="nl-NL"/>
        </w:rPr>
        <w:t>.</w:t>
      </w:r>
      <w:r>
        <w:rPr>
          <w:rStyle w:val="Voetnootmarkering"/>
          <w:lang w:val="nl-NL"/>
        </w:rPr>
        <w:footnoteReference w:id="122"/>
      </w:r>
      <w:r w:rsidRPr="00B54313">
        <w:rPr>
          <w:lang w:val="nl-NL"/>
        </w:rPr>
        <w:t xml:space="preserve"> </w:t>
      </w:r>
      <w:r>
        <w:rPr>
          <w:lang w:val="nl-NL"/>
        </w:rPr>
        <w:t>De tussenkomst van de</w:t>
      </w:r>
      <w:r w:rsidRPr="00B54313">
        <w:rPr>
          <w:lang w:val="nl-NL"/>
        </w:rPr>
        <w:t xml:space="preserve"> rechter</w:t>
      </w:r>
      <w:r>
        <w:rPr>
          <w:lang w:val="nl-NL"/>
        </w:rPr>
        <w:t xml:space="preserve"> is dus cruciaal</w:t>
      </w:r>
      <w:r w:rsidRPr="00B54313">
        <w:rPr>
          <w:lang w:val="nl-NL"/>
        </w:rPr>
        <w:t xml:space="preserve"> om tot echtscheiding over te gaan.</w:t>
      </w:r>
    </w:p>
    <w:p w14:paraId="00A27F4A" w14:textId="77777777" w:rsidR="00BD18A3" w:rsidRDefault="00BD18A3" w:rsidP="00BD18A3">
      <w:pPr>
        <w:pStyle w:val="Lijstalinea"/>
        <w:rPr>
          <w:lang w:val="nl-NL"/>
        </w:rPr>
      </w:pPr>
    </w:p>
    <w:p w14:paraId="74F9DB4C" w14:textId="77777777" w:rsidR="00BD18A3" w:rsidRDefault="00BD18A3" w:rsidP="00BD18A3">
      <w:pPr>
        <w:pStyle w:val="Lijstalinea"/>
        <w:numPr>
          <w:ilvl w:val="0"/>
          <w:numId w:val="26"/>
        </w:numPr>
        <w:ind w:left="0" w:firstLine="0"/>
        <w:rPr>
          <w:lang w:val="nl-NL"/>
        </w:rPr>
      </w:pPr>
      <w:r w:rsidRPr="00AE5FFD">
        <w:rPr>
          <w:lang w:val="nl-NL"/>
        </w:rPr>
        <w:t>Aangezien de bepaalde duur van het huwelijk vervat zit in de uitdovende tijdsbepaling in de specifieke overeenkomst tussen de aanstaande echtgenoten of als clausule binnen de reeds bestaande huwelijksovereenkom</w:t>
      </w:r>
      <w:r w:rsidRPr="00722B01">
        <w:rPr>
          <w:lang w:val="nl-NL"/>
        </w:rPr>
        <w:t>st (</w:t>
      </w:r>
      <w:r w:rsidRPr="00722B01">
        <w:rPr>
          <w:i/>
          <w:iCs/>
          <w:lang w:val="nl-NL"/>
        </w:rPr>
        <w:t>supra</w:t>
      </w:r>
      <w:r w:rsidRPr="00722B01">
        <w:rPr>
          <w:lang w:val="nl-NL"/>
        </w:rPr>
        <w:t xml:space="preserve"> randnummer 73 </w:t>
      </w:r>
      <w:proofErr w:type="spellStart"/>
      <w:r w:rsidRPr="00722B01">
        <w:rPr>
          <w:lang w:val="nl-NL"/>
        </w:rPr>
        <w:t>e.v</w:t>
      </w:r>
      <w:proofErr w:type="spellEnd"/>
      <w:r w:rsidRPr="00722B01">
        <w:rPr>
          <w:lang w:val="nl-NL"/>
        </w:rPr>
        <w:t>) heeft</w:t>
      </w:r>
      <w:r w:rsidRPr="00AE5FFD">
        <w:rPr>
          <w:lang w:val="nl-NL"/>
        </w:rPr>
        <w:t xml:space="preserve"> dit een autonome werking. De bindende kracht van de overeenkomst zal namelijk spelen. Deze stelt dat een contract dat geldig is tot stand gekomen degenen die het hebben gesloten, strekt tot wet.</w:t>
      </w:r>
      <w:r>
        <w:rPr>
          <w:rStyle w:val="Voetnootmarkering"/>
          <w:lang w:val="nl-NL"/>
        </w:rPr>
        <w:footnoteReference w:id="123"/>
      </w:r>
      <w:r w:rsidRPr="00AE5FFD">
        <w:rPr>
          <w:lang w:val="nl-NL"/>
        </w:rPr>
        <w:t xml:space="preserve"> Dit houdt </w:t>
      </w:r>
      <w:r w:rsidRPr="00AE5FFD">
        <w:rPr>
          <w:i/>
          <w:iCs/>
          <w:lang w:val="nl-NL"/>
        </w:rPr>
        <w:t xml:space="preserve">in </w:t>
      </w:r>
      <w:proofErr w:type="spellStart"/>
      <w:r w:rsidRPr="00AE5FFD">
        <w:rPr>
          <w:i/>
          <w:iCs/>
          <w:lang w:val="nl-NL"/>
        </w:rPr>
        <w:t>concreto</w:t>
      </w:r>
      <w:proofErr w:type="spellEnd"/>
      <w:r w:rsidRPr="00AE5FFD">
        <w:rPr>
          <w:i/>
          <w:iCs/>
          <w:lang w:val="nl-NL"/>
        </w:rPr>
        <w:t xml:space="preserve"> </w:t>
      </w:r>
      <w:r w:rsidRPr="00AE5FFD">
        <w:rPr>
          <w:lang w:val="nl-NL"/>
        </w:rPr>
        <w:t>in dat van zodra de tijdbepaling, bedongen door de echtgenoten, verstreken is, de uitdovende tijdsbepaling van rechtswege uitwerking zal hebben. Hierdoor zal bijgevolg het huwelijk ontbonden worden. De legitimiteit van de ontbinding verschuift bijgevolg van het oordeel van</w:t>
      </w:r>
      <w:r>
        <w:rPr>
          <w:lang w:val="nl-NL"/>
        </w:rPr>
        <w:t xml:space="preserve"> </w:t>
      </w:r>
      <w:r w:rsidRPr="00AE5FFD">
        <w:rPr>
          <w:lang w:val="nl-NL"/>
        </w:rPr>
        <w:t>de rechter naar de uitdovende tijdsbepaling binnen de specifieke overeenkomst of clausule in de huwelijksovereenkomst. Derhalve speelt de rechter geen rol van betekenis meer bij de ontbinding van het huwelijk van bepaalde duur.</w:t>
      </w:r>
    </w:p>
    <w:p w14:paraId="305EF344" w14:textId="77777777" w:rsidR="00BD18A3" w:rsidRPr="00EB6CD1" w:rsidRDefault="00BD18A3" w:rsidP="00BD18A3">
      <w:pPr>
        <w:pStyle w:val="Lijstalinea"/>
        <w:rPr>
          <w:lang w:val="nl-NL"/>
        </w:rPr>
      </w:pPr>
    </w:p>
    <w:p w14:paraId="45A73212" w14:textId="77777777" w:rsidR="00BD18A3" w:rsidRPr="00EB6CD1" w:rsidRDefault="00BD18A3" w:rsidP="00BD18A3">
      <w:pPr>
        <w:pStyle w:val="Lijstalinea"/>
        <w:numPr>
          <w:ilvl w:val="0"/>
          <w:numId w:val="26"/>
        </w:numPr>
        <w:ind w:left="0" w:firstLine="0"/>
        <w:rPr>
          <w:lang w:val="nl-NL"/>
        </w:rPr>
      </w:pPr>
      <w:r w:rsidRPr="00EB6CD1">
        <w:rPr>
          <w:lang w:val="nl-NL"/>
        </w:rPr>
        <w:t>Inzake de wettelijke samenwoning kent deze relatievorm zoals eerder vermeld van rechtswege een einde bij het overlijden of het huwen van één van beide samenwonenden. Voorts kan de wettelijke samenwoning worden beëindigd door middel van een schriftelijke verklaring bij de ambtenaar van de burgerlijke stand (</w:t>
      </w:r>
      <w:r w:rsidRPr="00A514AC">
        <w:rPr>
          <w:i/>
          <w:iCs/>
          <w:lang w:val="nl-NL"/>
        </w:rPr>
        <w:t>supra</w:t>
      </w:r>
      <w:r>
        <w:rPr>
          <w:lang w:val="nl-NL"/>
        </w:rPr>
        <w:t xml:space="preserve"> </w:t>
      </w:r>
      <w:r w:rsidRPr="00A514AC">
        <w:rPr>
          <w:lang w:val="nl-NL"/>
        </w:rPr>
        <w:t>randnummer</w:t>
      </w:r>
      <w:r>
        <w:rPr>
          <w:lang w:val="nl-NL"/>
        </w:rPr>
        <w:t xml:space="preserve"> 34</w:t>
      </w:r>
      <w:r w:rsidRPr="00EB6CD1">
        <w:rPr>
          <w:i/>
          <w:iCs/>
          <w:lang w:val="nl-NL"/>
        </w:rPr>
        <w:t>)</w:t>
      </w:r>
      <w:r w:rsidRPr="00EB6CD1">
        <w:rPr>
          <w:lang w:val="nl-NL"/>
        </w:rPr>
        <w:t>.</w:t>
      </w:r>
      <w:r>
        <w:rPr>
          <w:rStyle w:val="Voetnootmarkering"/>
          <w:lang w:val="nl-NL"/>
        </w:rPr>
        <w:footnoteReference w:id="124"/>
      </w:r>
      <w:r w:rsidRPr="00EB6CD1">
        <w:rPr>
          <w:lang w:val="nl-NL"/>
        </w:rPr>
        <w:t xml:space="preserve"> De rechter speelt bij het beëindigen van de wettelijke samenwoning hoe dan ook geen rol. Voor de wettelijke samenwoning van bepaalde duur zal de uitdovende tijdsbepaling in de specifieke overeenkomst tussen de wettelijke samenwonenden of in de samenlevingsovereenkomst, naar analogie met het huwelijk van bepaalde duur, bindende kracht hebben. Hierdoor zal de wettelijke samenwoning van rechtswege ophouden te bestaan door het enkele feit van de uitdovende tijdsbepaling in de specifieke overeenkomst of in de samenlevingsovereenkomst.</w:t>
      </w:r>
      <w:r>
        <w:rPr>
          <w:rStyle w:val="Voetnootmarkering"/>
          <w:lang w:val="nl-NL"/>
        </w:rPr>
        <w:footnoteReference w:id="125"/>
      </w:r>
      <w:r w:rsidRPr="00EB6CD1">
        <w:rPr>
          <w:lang w:val="nl-NL"/>
        </w:rPr>
        <w:t xml:space="preserve"> Zo zal noch een schriftelijke verklaring, noch de ambtenaar van de burgerlijke stand een rol spelen bij het beëindigen van de wettelijke samenwoning.</w:t>
      </w:r>
    </w:p>
    <w:p w14:paraId="3A38C97C" w14:textId="77777777" w:rsidR="00BD18A3" w:rsidRDefault="00BD18A3" w:rsidP="00BD18A3">
      <w:pPr>
        <w:pStyle w:val="Kop2"/>
        <w:rPr>
          <w:lang w:val="nl-NL"/>
        </w:rPr>
      </w:pPr>
      <w:bookmarkStart w:id="56" w:name="_Toc167990477"/>
      <w:r>
        <w:rPr>
          <w:lang w:val="nl-NL"/>
        </w:rPr>
        <w:t>Hoofdstuk 7. Registratie</w:t>
      </w:r>
      <w:bookmarkEnd w:id="56"/>
    </w:p>
    <w:p w14:paraId="2F9677EF" w14:textId="77777777" w:rsidR="00BD18A3" w:rsidRDefault="00BD18A3" w:rsidP="00BD18A3">
      <w:pPr>
        <w:pStyle w:val="Lijstalinea"/>
        <w:numPr>
          <w:ilvl w:val="0"/>
          <w:numId w:val="26"/>
        </w:numPr>
        <w:ind w:left="0" w:firstLine="0"/>
        <w:rPr>
          <w:lang w:val="nl-NL"/>
        </w:rPr>
      </w:pPr>
      <w:r w:rsidRPr="00EB6CD1">
        <w:rPr>
          <w:lang w:val="nl-NL"/>
        </w:rPr>
        <w:t xml:space="preserve">Dit hoofdstuk bespreekt op welke manier huwelijken en wettelijke samenwoningen van bepaalde duur geregistreerd kunnen worden. Zo kunnen huwelijken en wettelijke samenwoningen van bepaalde duur </w:t>
      </w:r>
      <w:proofErr w:type="spellStart"/>
      <w:r w:rsidRPr="00EB6CD1">
        <w:rPr>
          <w:lang w:val="nl-NL"/>
        </w:rPr>
        <w:t>tegenwerpelijk</w:t>
      </w:r>
      <w:proofErr w:type="spellEnd"/>
      <w:r w:rsidRPr="00EB6CD1">
        <w:rPr>
          <w:lang w:val="nl-NL"/>
        </w:rPr>
        <w:t xml:space="preserve"> worden gemaakt aan derden en de persoonsgegevens van echtgenoten en wettelijk samenwonenden op rechtsgeldige wijze worden verwerkt.</w:t>
      </w:r>
    </w:p>
    <w:p w14:paraId="3A83D627" w14:textId="77777777" w:rsidR="00BD18A3" w:rsidRDefault="00BD18A3" w:rsidP="00BD18A3">
      <w:pPr>
        <w:pStyle w:val="Lijstalinea"/>
        <w:rPr>
          <w:lang w:val="nl-NL"/>
        </w:rPr>
      </w:pPr>
    </w:p>
    <w:p w14:paraId="6EBB7733" w14:textId="77777777" w:rsidR="00BD18A3" w:rsidRPr="00ED48D5" w:rsidRDefault="00BD18A3" w:rsidP="00BD18A3">
      <w:pPr>
        <w:pStyle w:val="Lijstalinea"/>
        <w:numPr>
          <w:ilvl w:val="0"/>
          <w:numId w:val="26"/>
        </w:numPr>
        <w:ind w:left="0" w:firstLine="0"/>
        <w:rPr>
          <w:lang w:val="nl-NL"/>
        </w:rPr>
      </w:pPr>
      <w:r w:rsidRPr="00ED48D5">
        <w:rPr>
          <w:lang w:val="nl-NL"/>
        </w:rPr>
        <w:lastRenderedPageBreak/>
        <w:t>Wanneer vandaag de dag twee personen kiezen om te huwen of wettelijk samen te wonen en daarover een huwelijks- of samenlevingsovereenkomst afsluiten, wordt deze opgenomen in een online databank. Dit centraal register voor huwelijks- en samenlevingsovereenkomsten is een geïnformatiseerde gegevensbank met een finaliteit die tweeledig is.</w:t>
      </w:r>
      <w:r>
        <w:rPr>
          <w:rStyle w:val="Voetnootmarkering"/>
          <w:lang w:val="nl-NL"/>
        </w:rPr>
        <w:footnoteReference w:id="126"/>
      </w:r>
    </w:p>
    <w:p w14:paraId="28D8C1FC" w14:textId="77777777" w:rsidR="00BD18A3" w:rsidRDefault="00BD18A3" w:rsidP="00BD18A3">
      <w:pPr>
        <w:rPr>
          <w:lang w:val="nl-NL"/>
        </w:rPr>
      </w:pPr>
    </w:p>
    <w:p w14:paraId="1E96AE1A" w14:textId="77777777" w:rsidR="00BD18A3" w:rsidRDefault="00BD18A3" w:rsidP="00BD18A3">
      <w:pPr>
        <w:rPr>
          <w:lang w:val="nl-NL"/>
        </w:rPr>
      </w:pPr>
      <w:r>
        <w:rPr>
          <w:lang w:val="nl-NL"/>
        </w:rPr>
        <w:t xml:space="preserve">Vooreerst doelt deze gegevensbank op het </w:t>
      </w:r>
      <w:proofErr w:type="spellStart"/>
      <w:r>
        <w:rPr>
          <w:lang w:val="nl-NL"/>
        </w:rPr>
        <w:t>tegenwerpelijk</w:t>
      </w:r>
      <w:proofErr w:type="spellEnd"/>
      <w:r>
        <w:rPr>
          <w:lang w:val="nl-NL"/>
        </w:rPr>
        <w:t xml:space="preserve"> maken van huwelijks- en samenlevingsovereenkomsten aan derden. Dit zodat de bepalingen in de huwelijks- of samenlevingsovereenkomst tussen de echtgenoten of wettelijk samenwonenden ook uitwerking hebben ten aanzien van een derde.</w:t>
      </w:r>
      <w:r>
        <w:rPr>
          <w:rStyle w:val="Voetnootmarkering"/>
          <w:lang w:val="nl-NL"/>
        </w:rPr>
        <w:footnoteReference w:id="127"/>
      </w:r>
      <w:r>
        <w:rPr>
          <w:lang w:val="nl-NL"/>
        </w:rPr>
        <w:t xml:space="preserve"> De huwelijks- en samenlevingsovereenkomst heeft namelijk pas uitwerking tegenover derden voor zover ze is ingeschreven in het centraal register voor huwelijks- en samenlevingsovereenkomsten.</w:t>
      </w:r>
      <w:r>
        <w:rPr>
          <w:rStyle w:val="Voetnootmarkering"/>
          <w:lang w:val="nl-NL"/>
        </w:rPr>
        <w:footnoteReference w:id="128"/>
      </w:r>
      <w:r>
        <w:rPr>
          <w:lang w:val="nl-NL"/>
        </w:rPr>
        <w:t xml:space="preserve"> Het centraal register voor huwelijks- en samenlevingsovereenkomsten maakt deze </w:t>
      </w:r>
      <w:proofErr w:type="spellStart"/>
      <w:r>
        <w:rPr>
          <w:lang w:val="nl-NL"/>
        </w:rPr>
        <w:t>tegenwerpelijkheid</w:t>
      </w:r>
      <w:proofErr w:type="spellEnd"/>
      <w:r>
        <w:rPr>
          <w:lang w:val="nl-NL"/>
        </w:rPr>
        <w:t xml:space="preserve"> mogelijk doordat het de bevoegde derde in staat stelt raadplegingen over de huwelijks- en samenlevingsovereenkomsten van echtgenoten en wettelijk samenwonenden te verrichten. Deze opzoekingen maken het de bevoegde derde mogelijk informatie in te winnen over verklaringen van anticipatieve inbreng en inlichtingen te verschaffen over getroffen vermogensrechtelijke regelingen.</w:t>
      </w:r>
      <w:r>
        <w:rPr>
          <w:rStyle w:val="Voetnootmarkering"/>
          <w:lang w:val="nl-NL"/>
        </w:rPr>
        <w:footnoteReference w:id="129"/>
      </w:r>
    </w:p>
    <w:p w14:paraId="15A1CED9" w14:textId="77777777" w:rsidR="00BD18A3" w:rsidRDefault="00BD18A3" w:rsidP="00BD18A3">
      <w:pPr>
        <w:rPr>
          <w:lang w:val="nl-NL"/>
        </w:rPr>
      </w:pPr>
    </w:p>
    <w:p w14:paraId="7B892588" w14:textId="77777777" w:rsidR="00BD18A3" w:rsidRDefault="00BD18A3" w:rsidP="00BD18A3">
      <w:pPr>
        <w:rPr>
          <w:lang w:val="nl-NL"/>
        </w:rPr>
      </w:pPr>
      <w:r>
        <w:rPr>
          <w:lang w:val="nl-NL"/>
        </w:rPr>
        <w:t>Daarnaast heeft het centraal register voor huwelijks- en samenlevingsovereenkomsten niet enkel tot doelstelling om te voorzien in een mogelijkheid tot het opvragen van huwelijk en wettelijke samenwoning gerelateerde gegevens, maar dit te verwezenlijken op een wijze die overeenkomstig de Algemene Verordening Gegevensbescherming verloopt.</w:t>
      </w:r>
      <w:r>
        <w:rPr>
          <w:rStyle w:val="Voetnootmarkering"/>
          <w:lang w:val="nl-NL"/>
        </w:rPr>
        <w:footnoteReference w:id="130"/>
      </w:r>
      <w:r>
        <w:rPr>
          <w:lang w:val="nl-NL"/>
        </w:rPr>
        <w:t xml:space="preserve"> Deze Europese wetgeving regelt de wijze waarop persoonsgegevens op een correcte wijze verwerkt kunnen worden. Het centraal register voor huwelijks- en samenlevingsovereenkomsten biedt dus een veilige omgeving waar, op een conforme wijze aan Europese regelgeving, gegevens kunnen worden verwerkt en tevens waar de bevoegde derde pertinente vermogensrechtelijke informatie betreffende het huwelijk en de wettelijke samenwoning kan opladen.</w:t>
      </w:r>
      <w:r>
        <w:rPr>
          <w:rStyle w:val="Voetnootmarkering"/>
          <w:lang w:val="nl-NL"/>
        </w:rPr>
        <w:footnoteReference w:id="131"/>
      </w:r>
    </w:p>
    <w:p w14:paraId="5771D647" w14:textId="77777777" w:rsidR="00BD18A3" w:rsidRDefault="00BD18A3" w:rsidP="00BD18A3">
      <w:pPr>
        <w:rPr>
          <w:lang w:val="nl-NL"/>
        </w:rPr>
      </w:pPr>
    </w:p>
    <w:p w14:paraId="45365602" w14:textId="77777777" w:rsidR="00BD18A3" w:rsidRPr="00ED48D5" w:rsidRDefault="00BD18A3" w:rsidP="00BD18A3">
      <w:pPr>
        <w:pStyle w:val="Lijstalinea"/>
        <w:numPr>
          <w:ilvl w:val="0"/>
          <w:numId w:val="26"/>
        </w:numPr>
        <w:ind w:left="0" w:firstLine="0"/>
        <w:rPr>
          <w:lang w:val="nl-NL"/>
        </w:rPr>
      </w:pPr>
      <w:r w:rsidRPr="00ED48D5">
        <w:rPr>
          <w:lang w:val="nl-NL"/>
        </w:rPr>
        <w:lastRenderedPageBreak/>
        <w:t>Het centraal register voor huwelijks- en samenlevingsovereenkomsten biedt dus de ideale omgeving om de uitdovende tijdsbepaling van het huwelijk of de wettelijke samenwoning in onder te brengen (</w:t>
      </w:r>
      <w:r w:rsidRPr="00ED48D5">
        <w:rPr>
          <w:i/>
          <w:iCs/>
          <w:lang w:val="nl-NL"/>
        </w:rPr>
        <w:t>supra</w:t>
      </w:r>
      <w:r w:rsidRPr="00ED48D5">
        <w:rPr>
          <w:lang w:val="nl-NL"/>
        </w:rPr>
        <w:t xml:space="preserve"> </w:t>
      </w:r>
      <w:r>
        <w:rPr>
          <w:lang w:val="nl-NL"/>
        </w:rPr>
        <w:t>randnummer 66 e.v.).</w:t>
      </w:r>
      <w:r w:rsidRPr="00ED48D5">
        <w:rPr>
          <w:lang w:val="nl-NL"/>
        </w:rPr>
        <w:t xml:space="preserve"> Omwille van de dubbele finaliteit van het centraal register voor huwelijks- en samenlevingsovereenkomsten biedt dit instrument de garantie dat de uitdovende tijdsbepaling van het huwelijk of de wettelijke samenwoning </w:t>
      </w:r>
      <w:proofErr w:type="spellStart"/>
      <w:r w:rsidRPr="00ED48D5">
        <w:rPr>
          <w:lang w:val="nl-NL"/>
        </w:rPr>
        <w:t>tegenwerpelijk</w:t>
      </w:r>
      <w:proofErr w:type="spellEnd"/>
      <w:r w:rsidRPr="00ED48D5">
        <w:rPr>
          <w:lang w:val="nl-NL"/>
        </w:rPr>
        <w:t xml:space="preserve"> is ten aanzien van derden en dat de gegevens hieromtrent conform de Algemene Verordening Gegevensbescherming van de Europese Unie</w:t>
      </w:r>
      <w:r>
        <w:rPr>
          <w:rStyle w:val="Voetnootmarkering"/>
          <w:lang w:val="nl-NL"/>
        </w:rPr>
        <w:footnoteReference w:id="132"/>
      </w:r>
      <w:r w:rsidRPr="00ED48D5">
        <w:rPr>
          <w:lang w:val="nl-NL"/>
        </w:rPr>
        <w:t xml:space="preserve"> worden verwerkt.</w:t>
      </w:r>
    </w:p>
    <w:p w14:paraId="508E5A00" w14:textId="77777777" w:rsidR="00BD18A3" w:rsidRDefault="00BD18A3" w:rsidP="00BD18A3">
      <w:pPr>
        <w:pStyle w:val="Kop2"/>
      </w:pPr>
      <w:bookmarkStart w:id="57" w:name="_Toc167990478"/>
      <w:r>
        <w:t>Hoofdstuk 8. Verlenging, vernieuwing en hernieuwing</w:t>
      </w:r>
      <w:bookmarkEnd w:id="57"/>
    </w:p>
    <w:p w14:paraId="001F9296" w14:textId="77777777" w:rsidR="00BD18A3" w:rsidRDefault="00BD18A3" w:rsidP="00BD18A3">
      <w:pPr>
        <w:pStyle w:val="Lijstalinea"/>
        <w:numPr>
          <w:ilvl w:val="0"/>
          <w:numId w:val="26"/>
        </w:numPr>
        <w:ind w:left="0" w:firstLine="0"/>
      </w:pPr>
      <w:r>
        <w:t xml:space="preserve">Aangezien dit onderzoek de piste van het huwelijk en de wettelijke samenwoning van bepaalde duur bekijkt, zal deze relatievorm van rechtswege, bij het verstrijken van de uitdovende tijdsbepaling, een einde nemen. Echter hoeft dit niet per se het definitieve einde te betekenen voor het huwelijk of de wettelijke samenwoning. In dit hoofdstuk wordt beschreven op welke wijze de relatievorm van bepaalde duur, na het verstrijken van de initiële duur, een tweede adem kan krijgen. Dit kan enerzijds door de verlenging of vernieuwing. Hierbij zal het huwelijk of de wettelijke samenwoning worden verdergezet op identieke wijze: dezelfde uitdovende tijdsbepaling en dezelfde </w:t>
      </w:r>
      <w:r w:rsidRPr="009E403C">
        <w:rPr>
          <w:lang w:val="nl-NL"/>
        </w:rPr>
        <w:t>relatievermogensrechtelijke</w:t>
      </w:r>
      <w:r>
        <w:rPr>
          <w:lang w:val="nl-NL"/>
        </w:rPr>
        <w:t xml:space="preserve"> regeling</w:t>
      </w:r>
      <w:r>
        <w:t>. Anderzijds kan het huwelijk of de wettelijke samenwoning worden voortgezet op een niet identieke wijze door middel van hernieuwing van het huwelijk en de wettelijke samenwoning.</w:t>
      </w:r>
    </w:p>
    <w:p w14:paraId="56473D23" w14:textId="77777777" w:rsidR="00BD18A3" w:rsidRDefault="00BD18A3" w:rsidP="00BD18A3">
      <w:pPr>
        <w:pStyle w:val="Kop3"/>
        <w:numPr>
          <w:ilvl w:val="0"/>
          <w:numId w:val="18"/>
        </w:numPr>
      </w:pPr>
      <w:r>
        <w:t xml:space="preserve"> </w:t>
      </w:r>
      <w:bookmarkStart w:id="58" w:name="_Toc167990479"/>
      <w:r>
        <w:t>Verlenging en vernieuwing</w:t>
      </w:r>
      <w:bookmarkEnd w:id="58"/>
    </w:p>
    <w:p w14:paraId="06014DD9" w14:textId="77777777" w:rsidR="00BD18A3" w:rsidRDefault="00BD18A3" w:rsidP="00BD18A3">
      <w:pPr>
        <w:pStyle w:val="Lijstalinea"/>
        <w:numPr>
          <w:ilvl w:val="0"/>
          <w:numId w:val="26"/>
        </w:numPr>
        <w:ind w:left="0" w:firstLine="0"/>
      </w:pPr>
      <w:r>
        <w:t xml:space="preserve">Een verlenging of vernieuwing van het huwelijk of de wettelijke samenwoning zal zich voordoen in de hypothese waarbij de echtgenoten of wettelijk samenwonenden hun huwelijk of wettelijke samenwoning wensen verder te zetten op identieke wijze. Dit houdt in: onder dezelfde uitdovende tijdsbepaling en onder identieke </w:t>
      </w:r>
      <w:r w:rsidRPr="0034201E">
        <w:rPr>
          <w:lang w:val="nl-NL"/>
        </w:rPr>
        <w:t xml:space="preserve">relatievermogensrechtelijke </w:t>
      </w:r>
      <w:r>
        <w:t xml:space="preserve">regeling. </w:t>
      </w:r>
    </w:p>
    <w:p w14:paraId="7B142F6E" w14:textId="77777777" w:rsidR="00BD18A3" w:rsidRDefault="00BD18A3" w:rsidP="00BD18A3">
      <w:pPr>
        <w:pStyle w:val="Lijstalinea"/>
      </w:pPr>
    </w:p>
    <w:p w14:paraId="506C989B" w14:textId="77777777" w:rsidR="00BD18A3" w:rsidRDefault="00BD18A3" w:rsidP="00BD18A3">
      <w:pPr>
        <w:pStyle w:val="Lijstalinea"/>
      </w:pPr>
      <w:r>
        <w:t xml:space="preserve">Een verlenging heeft namelijk enkel </w:t>
      </w:r>
      <w:r w:rsidRPr="00D756CB">
        <w:t>het uitstel van de uitdovende tijdsbepaling van het contract tot gevolg</w:t>
      </w:r>
      <w:r>
        <w:t xml:space="preserve"> en verandert niets inhoudelijks.</w:t>
      </w:r>
      <w:r>
        <w:rPr>
          <w:rStyle w:val="Voetnootmarkering"/>
        </w:rPr>
        <w:footnoteReference w:id="133"/>
      </w:r>
      <w:r>
        <w:t xml:space="preserve"> Een vernieuwing </w:t>
      </w:r>
      <w:r w:rsidRPr="00D756CB">
        <w:t>doet een nieuw contract ontstaan dat identiek is aan het vorige</w:t>
      </w:r>
      <w:r>
        <w:t>.</w:t>
      </w:r>
      <w:r>
        <w:rPr>
          <w:rStyle w:val="Voetnootmarkering"/>
        </w:rPr>
        <w:footnoteReference w:id="134"/>
      </w:r>
      <w:r>
        <w:t xml:space="preserve"> Het onderscheid tussen de verlenging </w:t>
      </w:r>
      <w:r>
        <w:lastRenderedPageBreak/>
        <w:t>en de vernieuwing is dat de verlenging het initiële contract louter verlengd en dat de vernieuwing een nieuw contract doet ontstaan dat identiek is aan het initiële contract.</w:t>
      </w:r>
      <w:r>
        <w:rPr>
          <w:rStyle w:val="Voetnootmarkering"/>
        </w:rPr>
        <w:footnoteReference w:id="135"/>
      </w:r>
    </w:p>
    <w:p w14:paraId="71273FB5" w14:textId="77777777" w:rsidR="00BD18A3" w:rsidRDefault="00BD18A3" w:rsidP="00BD18A3">
      <w:pPr>
        <w:pStyle w:val="Kop4"/>
        <w:numPr>
          <w:ilvl w:val="0"/>
          <w:numId w:val="19"/>
        </w:numPr>
      </w:pPr>
      <w:bookmarkStart w:id="59" w:name="_Toc167990480"/>
      <w:r>
        <w:t>Conventionele verlenging</w:t>
      </w:r>
      <w:bookmarkEnd w:id="59"/>
    </w:p>
    <w:p w14:paraId="09C3F4F3" w14:textId="77777777" w:rsidR="00BD18A3" w:rsidRDefault="00BD18A3" w:rsidP="00BD18A3">
      <w:pPr>
        <w:pStyle w:val="Lijstalinea"/>
        <w:numPr>
          <w:ilvl w:val="0"/>
          <w:numId w:val="26"/>
        </w:numPr>
        <w:ind w:left="0" w:firstLine="0"/>
      </w:pPr>
      <w:r>
        <w:t>Aan de grondslag van het huwelijk en de wettelijke samenwoning ligt een overeenkomst dat wederzijdse rechten en plichten doet ontstaan tussen beide partners. Wanneer we dit in een zuiver gemeen verbintenisrechtelijk licht plaatsen wordt dit gekwalificeerd als een duurcontract. Dit aangezien de overeenkomst gekenmerkt wordt door de uitvoering van opeenvolgende of doorlopende prestaties gespreid in de tijd. Voorts kunnen de duurcontracten verder worden opgedeeld in contracten van bepaalde duur en contracten van onbepaalde duur.</w:t>
      </w:r>
      <w:r>
        <w:rPr>
          <w:rStyle w:val="Voetnootmarkering"/>
        </w:rPr>
        <w:footnoteReference w:id="136"/>
      </w:r>
      <w:r>
        <w:t xml:space="preserve"> Het huwelijk en de wettelijke samenwoning van bepaalde duur laat zich categoriseren onder dit eerste type van overeenkomst.</w:t>
      </w:r>
    </w:p>
    <w:p w14:paraId="3D98BADC" w14:textId="77777777" w:rsidR="00BD18A3" w:rsidRDefault="00BD18A3" w:rsidP="00BD18A3">
      <w:pPr>
        <w:pStyle w:val="Lijstalinea"/>
      </w:pPr>
    </w:p>
    <w:p w14:paraId="274566AF" w14:textId="77777777" w:rsidR="00BD18A3" w:rsidRDefault="00BD18A3" w:rsidP="00BD18A3">
      <w:pPr>
        <w:pStyle w:val="Lijstalinea"/>
        <w:numPr>
          <w:ilvl w:val="0"/>
          <w:numId w:val="26"/>
        </w:numPr>
        <w:ind w:left="0" w:firstLine="0"/>
      </w:pPr>
      <w:r>
        <w:t xml:space="preserve">Aangezien het huwelijk en de wettelijke samenwoning van bepaalde duur contracten van bepaalde duur zijn, kunnen deze contracten worden </w:t>
      </w:r>
      <w:r w:rsidRPr="00E5482C">
        <w:t>verlengd als de partijen dat overeenkomen vóór het verstrijken van de uitdovende tijdsbepaling.</w:t>
      </w:r>
      <w:r>
        <w:rPr>
          <w:rStyle w:val="Voetnootmarkering"/>
        </w:rPr>
        <w:footnoteReference w:id="137"/>
      </w:r>
      <w:r>
        <w:t xml:space="preserve"> Bij een verlenging zal er geen nieuw contract ontstaan, maar wordt de duur van het huidige contract verlengd. Een verlenging heeft namelijk het </w:t>
      </w:r>
      <w:r w:rsidRPr="00CF172A">
        <w:t xml:space="preserve">uitstel van de uitdovende tijdsbepaling </w:t>
      </w:r>
      <w:r>
        <w:t>van de overeenkomst</w:t>
      </w:r>
      <w:r w:rsidRPr="00CF172A">
        <w:t xml:space="preserve"> tot gevolg</w:t>
      </w:r>
      <w:r>
        <w:t>.</w:t>
      </w:r>
      <w:r>
        <w:rPr>
          <w:rStyle w:val="Voetnootmarkering"/>
        </w:rPr>
        <w:footnoteReference w:id="138"/>
      </w:r>
    </w:p>
    <w:p w14:paraId="2C811C78" w14:textId="77777777" w:rsidR="00BD18A3" w:rsidRDefault="00BD18A3" w:rsidP="00BD18A3">
      <w:pPr>
        <w:pStyle w:val="Lijstalinea"/>
      </w:pPr>
    </w:p>
    <w:p w14:paraId="702DF9B6" w14:textId="77777777" w:rsidR="00BD18A3" w:rsidRDefault="00BD18A3" w:rsidP="00BD18A3">
      <w:pPr>
        <w:pStyle w:val="Lijstalinea"/>
        <w:numPr>
          <w:ilvl w:val="0"/>
          <w:numId w:val="26"/>
        </w:numPr>
        <w:ind w:left="0" w:firstLine="0"/>
      </w:pPr>
      <w:r>
        <w:t>Wetende dat de meeste partners niet al te happig zijn voor een bezoek aan de notaris, wat meestal een kost met zich meebrengt, voltrekt deze verlenging van het huwelijk en de wettelijke samenwoning zich buiten de kantoren van het notariaat. Een notariële akte in deze hypothese lijkt niet opportuun aangezien het initiële contract louter wordt verlengd. De notaris heeft namelijk zijn informatieplicht reeds vervult bij de totstandkoming van de initiële huwelijks- of samenlevingsovereenkomst.</w:t>
      </w:r>
      <w:r>
        <w:rPr>
          <w:rStyle w:val="Voetnootmarkering"/>
        </w:rPr>
        <w:footnoteReference w:id="139"/>
      </w:r>
      <w:r>
        <w:t xml:space="preserve"> Een tweede bezoek aan de notaris voor een contract met identiek hetzelfde voorwerp zou overbodig en paternalistisch zijn.</w:t>
      </w:r>
    </w:p>
    <w:p w14:paraId="2ED1BE51" w14:textId="77777777" w:rsidR="00BD18A3" w:rsidRDefault="00BD18A3" w:rsidP="00BD18A3">
      <w:pPr>
        <w:pStyle w:val="Lijstalinea"/>
      </w:pPr>
    </w:p>
    <w:p w14:paraId="3F7F055D" w14:textId="77777777" w:rsidR="00BD18A3" w:rsidRDefault="00BD18A3" w:rsidP="00BD18A3">
      <w:pPr>
        <w:pStyle w:val="Lijstalinea"/>
        <w:numPr>
          <w:ilvl w:val="0"/>
          <w:numId w:val="26"/>
        </w:numPr>
        <w:ind w:left="0" w:firstLine="0"/>
      </w:pPr>
      <w:r>
        <w:t xml:space="preserve">Hierbij dient echter de nodige kanttekening gemaakt te worden. Doordat deze specifieke overeenkomst raakt aan het instituut van het huwelijk en de wettelijke samenwoning dient deze overeenkomst niet enkel het gemeenrechtelijk verbintenissenrecht te eerbiedigen, maar is het tevens onderworpen aan specifieke regels </w:t>
      </w:r>
      <w:r>
        <w:lastRenderedPageBreak/>
        <w:t>van dwingend recht betreffende het huwelijk en de wettelijke samenwoning. Zo is het uitermate onzeker dat een gemeen verbintenisrechtelijke verlenging van het huwelijk en de wettelijke samenwoning van bepaalde duur, binnen het huidig wettelijk kader, rechtsgeldig is. Dit aangezien het mogelijk strijdig is met de vormvereiste van de notariële akte waarin de huwelijks- of samenlevingsovereenkomst  moeten worden verleden.</w:t>
      </w:r>
      <w:r>
        <w:rPr>
          <w:rStyle w:val="Voetnootmarkering"/>
        </w:rPr>
        <w:footnoteReference w:id="140"/>
      </w:r>
      <w:r>
        <w:t xml:space="preserve"> Dit in de hypothese dat de uitdovende tijdsbepaling is opgenomen binnen de huwelijks- of samenlevingsovereenkomst of binnen </w:t>
      </w:r>
      <w:r w:rsidRPr="00DE6646">
        <w:t>de specifieke overeenkomst (</w:t>
      </w:r>
      <w:r w:rsidRPr="00DE6646">
        <w:rPr>
          <w:i/>
          <w:iCs/>
        </w:rPr>
        <w:t>supra</w:t>
      </w:r>
      <w:r w:rsidRPr="00DE6646">
        <w:t xml:space="preserve"> randnummer 73 e.v.).</w:t>
      </w:r>
    </w:p>
    <w:p w14:paraId="06FD95C2" w14:textId="77777777" w:rsidR="00BD18A3" w:rsidRDefault="00BD18A3" w:rsidP="00BD18A3">
      <w:pPr>
        <w:pStyle w:val="Lijstalinea"/>
      </w:pPr>
    </w:p>
    <w:p w14:paraId="4966E634" w14:textId="77777777" w:rsidR="00BD18A3" w:rsidRDefault="00BD18A3" w:rsidP="00BD18A3">
      <w:pPr>
        <w:pStyle w:val="Lijstalinea"/>
        <w:numPr>
          <w:ilvl w:val="0"/>
          <w:numId w:val="26"/>
        </w:numPr>
        <w:ind w:left="0" w:firstLine="0"/>
      </w:pPr>
      <w:r>
        <w:t>Een mogelijke remedie hiervoor zou zich kunnen situeren in de aanpassing van de bepaling dat de vormvereiste voor de huwelijks- en samenlevingsovereenkomst oplegt. De wetgever zou bij de respectievelijke artikelen 2.3.6. BW en 1478, eerste paragraaf, vierde lid oud BW een nieuw lid kunnen inschrijven dat bepaalt dat de verlenging van het huwelijk of de wettelijke samenwoning niet bij notariële akte verleden moet worden. Het is wel te verstaan dat dit aanvullende lid enkel en alleen van toepassing is voor de gevallen van een verlenging en vernieuwing (</w:t>
      </w:r>
      <w:r w:rsidRPr="00DE6646">
        <w:rPr>
          <w:i/>
        </w:rPr>
        <w:t xml:space="preserve">infra </w:t>
      </w:r>
      <w:r w:rsidRPr="00DE6646">
        <w:t>randnummer 10</w:t>
      </w:r>
      <w:r>
        <w:t>0</w:t>
      </w:r>
      <w:r w:rsidRPr="00DE6646">
        <w:t>).</w:t>
      </w:r>
      <w:r>
        <w:t xml:space="preserve"> Via deze weg kan de huwelijks- en samenlevingsovereenkomst, die identiek is aan de vorige, op een rechtsgeldige wijze zonder tussenkomst van de notaris een nieuw leven worden ingeblazen.</w:t>
      </w:r>
    </w:p>
    <w:p w14:paraId="0B9A319C" w14:textId="77777777" w:rsidR="00BD18A3" w:rsidRDefault="00BD18A3" w:rsidP="00BD18A3">
      <w:pPr>
        <w:pStyle w:val="Lijstalinea"/>
      </w:pPr>
    </w:p>
    <w:p w14:paraId="356DE38C" w14:textId="77777777" w:rsidR="00BD18A3" w:rsidRDefault="00BD18A3" w:rsidP="00BD18A3">
      <w:pPr>
        <w:pStyle w:val="Lijstalinea"/>
        <w:numPr>
          <w:ilvl w:val="0"/>
          <w:numId w:val="26"/>
        </w:numPr>
        <w:ind w:left="0" w:firstLine="0"/>
      </w:pPr>
      <w:r>
        <w:t xml:space="preserve">Voorgaande uiteenzetting werkte een regeling uit op welke wijze het huwelijk en de wettelijke samenwoning verlengd kon worden via wijziging van de huwelijks- of samenlevingsovereenkomst </w:t>
      </w:r>
      <w:r w:rsidRPr="00B75222">
        <w:t>zonder tussenkomst van de notaris.</w:t>
      </w:r>
      <w:r>
        <w:t xml:space="preserve"> Echter is het niet correct om te stellen dat wanneer de huwelijks- of samenlevingsovereenkomst gewijzigd is met het oog op verlenging, het huwelijk of de wettelijke samenwoning </w:t>
      </w:r>
      <w:r w:rsidRPr="00F97234">
        <w:rPr>
          <w:i/>
          <w:iCs/>
        </w:rPr>
        <w:t>an sich</w:t>
      </w:r>
      <w:r>
        <w:t xml:space="preserve"> automatisch verlengd wordt. Het is immers de taak van de ambtenaar van de burgerlijke stand om het huwelijk te voltrekken of de schriftelijke verklaring van wettelijke samenwoning te ontvangen. De notaris, die in deze hypothese omzeild wordt, is namelijk geen instrumenterende ambtenaar die deze statuten tot stand kan brengen.</w:t>
      </w:r>
      <w:r>
        <w:rPr>
          <w:rStyle w:val="Voetnootmarkering"/>
        </w:rPr>
        <w:footnoteReference w:id="141"/>
      </w:r>
      <w:r>
        <w:t xml:space="preserve"> Een tussenkomst van de ambtenaar van de burgerlijke stand lijkt dus vereist bij de verlenging van het huwelijk en de wettelijke samenwoning van bepaalde duur. </w:t>
      </w:r>
    </w:p>
    <w:p w14:paraId="53BF3C56" w14:textId="77777777" w:rsidR="00BD18A3" w:rsidRDefault="00BD18A3" w:rsidP="00BD18A3">
      <w:pPr>
        <w:pStyle w:val="Lijstalinea"/>
      </w:pPr>
    </w:p>
    <w:p w14:paraId="6A7A9E35" w14:textId="77777777" w:rsidR="00BD18A3" w:rsidRDefault="00BD18A3" w:rsidP="00BD18A3">
      <w:pPr>
        <w:pStyle w:val="Lijstalinea"/>
        <w:numPr>
          <w:ilvl w:val="0"/>
          <w:numId w:val="26"/>
        </w:numPr>
        <w:ind w:left="0" w:firstLine="0"/>
      </w:pPr>
      <w:r>
        <w:t xml:space="preserve">Teneinde ervoor te zorgen dat echtgenoten niet andermaal ceremonieel het ja-woord dienen te geven en dat wettelijke samenwonenden niet opnieuw een schriftelijke verklaring van wettelijke samenwoning moeten overhandigen, kan er worden voorzien in een vereenvoudigde procedure. Deze zou de vorm kunnen aannemen van een verklaring op geschrift van verlenging. Deze procedure kan worden gebaseerd op de reeds bestaande </w:t>
      </w:r>
      <w:r>
        <w:lastRenderedPageBreak/>
        <w:t>methodiek voor het aangaan van de wettelijke samenwoning, maar dan in vereenvoudigde vorm.</w:t>
      </w:r>
      <w:r>
        <w:rPr>
          <w:rStyle w:val="Voetnootmarkering"/>
        </w:rPr>
        <w:footnoteReference w:id="142"/>
      </w:r>
      <w:r>
        <w:t xml:space="preserve"> Hierbij geven de echtgenoten of wettelijk samenwonenden aan de ambtenaar van de burgerlijke stand te kennen dat zij hun huwelijk of wettelijke samenwoning onder identiek modaliteiten: dezelfde uitdovende tijdsbepaling en dezelfde relatievermogensrechtelijke regeling, willen verder zetten. Deze schriftelijke verklaring wordt overhandigd tegen ontvangstbewijs aan de ambtenaar van de burgerlijke stand.</w:t>
      </w:r>
      <w:r>
        <w:rPr>
          <w:rStyle w:val="Voetnootmarkering"/>
        </w:rPr>
        <w:footnoteReference w:id="143"/>
      </w:r>
      <w:r>
        <w:t xml:space="preserve"> </w:t>
      </w:r>
    </w:p>
    <w:p w14:paraId="7D1457D4" w14:textId="77777777" w:rsidR="00BD18A3" w:rsidRDefault="00BD18A3" w:rsidP="00BD18A3">
      <w:pPr>
        <w:pStyle w:val="Lijstalinea"/>
      </w:pPr>
    </w:p>
    <w:p w14:paraId="107A5488" w14:textId="77777777" w:rsidR="00BD18A3" w:rsidRDefault="00BD18A3" w:rsidP="00BD18A3">
      <w:pPr>
        <w:pStyle w:val="Lijstalinea"/>
      </w:pPr>
      <w:r>
        <w:t>Vervolgens neemt de ambtenaar van de burgerlijke stand, voor de verlenging van het huwelijk, de akte op in de Databank van Akten van de Burgerlijke Stand.</w:t>
      </w:r>
      <w:r>
        <w:rPr>
          <w:rStyle w:val="Voetnootmarkering"/>
        </w:rPr>
        <w:footnoteReference w:id="144"/>
      </w:r>
      <w:r>
        <w:t xml:space="preserve"> Voor wat betreft de verlenging van de wettelijke samenwoning maakt de ambtenaar van de burgerlijke stand melding van de schriftelijke verklaring tot verlenging in het bevolkingsregister.</w:t>
      </w:r>
      <w:r>
        <w:rPr>
          <w:rStyle w:val="Voetnootmarkering"/>
        </w:rPr>
        <w:footnoteReference w:id="145"/>
      </w:r>
    </w:p>
    <w:p w14:paraId="4009AA44" w14:textId="77777777" w:rsidR="00BD18A3" w:rsidRDefault="00BD18A3" w:rsidP="00BD18A3">
      <w:pPr>
        <w:pStyle w:val="Lijstalinea"/>
      </w:pPr>
    </w:p>
    <w:p w14:paraId="4DD5C9C5" w14:textId="77777777" w:rsidR="00BD18A3" w:rsidRDefault="00BD18A3" w:rsidP="00BD18A3">
      <w:pPr>
        <w:pStyle w:val="Lijstalinea"/>
        <w:numPr>
          <w:ilvl w:val="0"/>
          <w:numId w:val="26"/>
        </w:numPr>
        <w:ind w:left="0" w:firstLine="0"/>
      </w:pPr>
      <w:r>
        <w:t>Concluderend kan er worden gesteld dat wanneer echtgenoten of wettelijk samenwonenden hun huwelijk of wettelijke samenwoning aan dezelfde modaliteiten wensen verder te zetten, een verlenging van het huwelijk en de wettelijke samenwoning mogelijk is. Deze verlenging geschiedt door middel van een wijziging van de huwelijks- of samenlevingsovereenkomst. Dit op een manier waarbij de notaris niet meer betrokken is aangezien zijn rol als informatieverstrekker al is uitgespeeld bij de totstandkoming van de initiële huwelijks- of samenlevingsovereenkomst. De schriftelijke verklaring tot verlenging zal worden overhandigd aan de ambtenaar van de burgerlijke stand, waardoor hij rechtsgeldig het huwelijk en de wettelijke samenwoning nieuw leven kan inblazen.</w:t>
      </w:r>
    </w:p>
    <w:p w14:paraId="1DAA66F5" w14:textId="77777777" w:rsidR="00BD18A3" w:rsidRDefault="00BD18A3" w:rsidP="00BD18A3">
      <w:pPr>
        <w:pStyle w:val="Kop4"/>
        <w:numPr>
          <w:ilvl w:val="0"/>
          <w:numId w:val="19"/>
        </w:numPr>
      </w:pPr>
      <w:bookmarkStart w:id="60" w:name="_Toc167990481"/>
      <w:r w:rsidRPr="00586DCF">
        <w:t>Uitdrukkelijke ver</w:t>
      </w:r>
      <w:r>
        <w:t>nieuwing</w:t>
      </w:r>
      <w:bookmarkEnd w:id="60"/>
    </w:p>
    <w:p w14:paraId="2D3C770F" w14:textId="77777777" w:rsidR="00BD18A3" w:rsidRDefault="00BD18A3" w:rsidP="00BD18A3">
      <w:pPr>
        <w:pStyle w:val="Lijstalinea"/>
        <w:numPr>
          <w:ilvl w:val="0"/>
          <w:numId w:val="26"/>
        </w:numPr>
        <w:ind w:left="0" w:firstLine="0"/>
      </w:pPr>
      <w:r>
        <w:t>Aangezien het huwelijk en de wettelijke samenwoning van bepaalde duur contracten van bepaalde duur zijn, kunnen deze contracten worden vernieuwd. Naast de verlenging van het huwelijk en de wettelijke samenwoning is dus ook een vernieuwing mogelijk. Het Burgerlijk Wetboek schrijft namelijk uitdrukkelijk voor dat een contract van bepaalde duur kan worden vernieuwd op grond van de wet of door akkoord van de partijen.</w:t>
      </w:r>
      <w:r>
        <w:rPr>
          <w:rStyle w:val="Voetnootmarkering"/>
        </w:rPr>
        <w:footnoteReference w:id="146"/>
      </w:r>
      <w:r>
        <w:t xml:space="preserve"> Echtgenoten en wettelijk samenwonenden kunnen dus bij akkoord tussen hen, </w:t>
      </w:r>
      <w:r w:rsidRPr="00E5482C">
        <w:t>vóór</w:t>
      </w:r>
      <w:r>
        <w:t xml:space="preserve"> het verstrijken van de uitdovende tijdsbepaling, hun huwelijk of wettelijke samenwoning vernieuwen.</w:t>
      </w:r>
    </w:p>
    <w:p w14:paraId="03B03AD1" w14:textId="77777777" w:rsidR="00BD18A3" w:rsidRDefault="00BD18A3" w:rsidP="00BD18A3">
      <w:pPr>
        <w:pStyle w:val="Lijstalinea"/>
      </w:pPr>
    </w:p>
    <w:p w14:paraId="1ACD1887" w14:textId="77777777" w:rsidR="00BD18A3" w:rsidRDefault="00BD18A3" w:rsidP="00BD18A3">
      <w:pPr>
        <w:pStyle w:val="Lijstalinea"/>
        <w:numPr>
          <w:ilvl w:val="0"/>
          <w:numId w:val="26"/>
        </w:numPr>
        <w:ind w:left="0" w:firstLine="0"/>
      </w:pPr>
      <w:r>
        <w:lastRenderedPageBreak/>
        <w:t>In deze hypothese hebben beide echtgenoten of wettelijk samenwonenden een akkoord waardoor ze hun contract van bepaalde duur, hun respectievelijke huwelijks- of samenlevingsovereenkomst met uitdovende tijdsbepaling kunnen wijzigen.</w:t>
      </w:r>
      <w:r>
        <w:rPr>
          <w:rStyle w:val="Voetnootmarkering"/>
        </w:rPr>
        <w:footnoteReference w:id="147"/>
      </w:r>
      <w:r>
        <w:t xml:space="preserve"> Het behept het akkoord over een vernieuwing van de relatievorm  aan identieke modaliteiten: dezelfde uitdovende tijdsbepaling en dezelfde </w:t>
      </w:r>
      <w:r w:rsidRPr="005D29F5">
        <w:rPr>
          <w:lang w:val="nl-NL"/>
        </w:rPr>
        <w:t>relatievermogensrechtelijke</w:t>
      </w:r>
      <w:r>
        <w:t xml:space="preserve"> regeling. Er komt een nieuw contract van bepaalde duur tot stand dat identiek is aan het vorige. Het contract dat hierbij tot stand komt, zal terug voor bepaalde duur zijn, aangezien de identieke uitdovende tijdsbepaling van de initiële huwelijks- of samenlevingsovereenkomst wordt overgenomen. Dit vloeit voort uit de wil van de partijen.</w:t>
      </w:r>
      <w:r>
        <w:rPr>
          <w:rStyle w:val="Voetnootmarkering"/>
        </w:rPr>
        <w:footnoteReference w:id="148"/>
      </w:r>
      <w:r>
        <w:t xml:space="preserve"> </w:t>
      </w:r>
    </w:p>
    <w:p w14:paraId="4932BA26" w14:textId="77777777" w:rsidR="00BD18A3" w:rsidRDefault="00BD18A3" w:rsidP="00BD18A3">
      <w:pPr>
        <w:pStyle w:val="Lijstalinea"/>
      </w:pPr>
    </w:p>
    <w:p w14:paraId="3A1C2C1B" w14:textId="77777777" w:rsidR="00BD18A3" w:rsidRDefault="00BD18A3" w:rsidP="00BD18A3">
      <w:pPr>
        <w:pStyle w:val="Lijstalinea"/>
        <w:numPr>
          <w:ilvl w:val="0"/>
          <w:numId w:val="26"/>
        </w:numPr>
        <w:ind w:left="0" w:firstLine="0"/>
      </w:pPr>
      <w:r>
        <w:t xml:space="preserve">Een vernieuwing van het huwelijk en de wettelijke samenwoning heeft tot gevolg dat er een nieuw contract ontstaat dat identiek is aan het initiële. Dit houdt in dat er inhoudelijk, aan de uitdovende tijdsbepaling en aan de </w:t>
      </w:r>
      <w:r w:rsidRPr="00153AE6">
        <w:rPr>
          <w:lang w:val="nl-NL"/>
        </w:rPr>
        <w:t xml:space="preserve">relatievermogensrechtelijke </w:t>
      </w:r>
      <w:r>
        <w:t>regeling, geen wijzigingen gebeuren. Hierdoor loopt een vernieuwing van huwelijk of de wettelijke samenwoning gelijk met de hypothese van de verlenging van het huwelijk en de wettelijke samenwoning (</w:t>
      </w:r>
      <w:r w:rsidRPr="00CC442A">
        <w:rPr>
          <w:i/>
          <w:iCs/>
        </w:rPr>
        <w:t xml:space="preserve">supra </w:t>
      </w:r>
      <w:r w:rsidRPr="00CC442A">
        <w:t>randnummer 10</w:t>
      </w:r>
      <w:r>
        <w:t>7). Voor de uitdrukkelijke vernieuwing zal er bijgevolg ook geen notariële akte vereist zijn, door bij de desbetreffende artikelen over de notariële vormvereiste in te schrijven dat een uitdrukkelijke vernieuwing niet bij notariële akte verleden wordt.</w:t>
      </w:r>
      <w:r>
        <w:rPr>
          <w:rStyle w:val="Voetnootmarkering"/>
        </w:rPr>
        <w:footnoteReference w:id="149"/>
      </w:r>
      <w:r>
        <w:t xml:space="preserve"> Dit aangezien de rol van de notaris als informatieverstrekker als is uitgespeeld bij het notarieel opstellen van de initiële huwelijks- of samenlevingsovereenkomst.</w:t>
      </w:r>
      <w:r>
        <w:rPr>
          <w:rStyle w:val="Voetnootmarkering"/>
        </w:rPr>
        <w:footnoteReference w:id="150"/>
      </w:r>
      <w:r>
        <w:t xml:space="preserve"> De ambtenaar van de burgerlijke stand zal vervolgens, voor de uitdrukkelijke vernieuwing van het huwelijk, de uitdrukkelijk vernieuwde akte opnemen in de Databank van Akten van de Burgerlijke Stand.</w:t>
      </w:r>
      <w:r>
        <w:rPr>
          <w:rStyle w:val="Voetnootmarkering"/>
        </w:rPr>
        <w:footnoteReference w:id="151"/>
      </w:r>
      <w:r>
        <w:t xml:space="preserve"> Voor wat betreft de uitdrukkelijke vernieuwing van de wettelijke samenwoning maakt de ambtenaar van de burgerlijke stand hier melding van in het bevolkingsregister.</w:t>
      </w:r>
      <w:r>
        <w:rPr>
          <w:rStyle w:val="Voetnootmarkering"/>
        </w:rPr>
        <w:footnoteReference w:id="152"/>
      </w:r>
    </w:p>
    <w:p w14:paraId="65D4DBA7" w14:textId="77777777" w:rsidR="00BD18A3" w:rsidRDefault="00BD18A3" w:rsidP="00BD18A3">
      <w:pPr>
        <w:pStyle w:val="Kop4"/>
        <w:numPr>
          <w:ilvl w:val="0"/>
          <w:numId w:val="19"/>
        </w:numPr>
      </w:pPr>
      <w:bookmarkStart w:id="61" w:name="_Toc167990482"/>
      <w:r w:rsidRPr="00586DCF">
        <w:t>Stilzwijgende ver</w:t>
      </w:r>
      <w:r>
        <w:t>nieuwing</w:t>
      </w:r>
      <w:bookmarkEnd w:id="61"/>
    </w:p>
    <w:p w14:paraId="31FB7953" w14:textId="77777777" w:rsidR="00BD18A3" w:rsidRDefault="00BD18A3" w:rsidP="00BD18A3">
      <w:pPr>
        <w:pStyle w:val="Lijstalinea"/>
        <w:numPr>
          <w:ilvl w:val="0"/>
          <w:numId w:val="26"/>
        </w:numPr>
        <w:ind w:left="0" w:firstLine="0"/>
      </w:pPr>
      <w:r>
        <w:t>In het geval dat echtgenoten of wettelijke samenwonenden vergeten hun huwelijk of wettelijke samenwoning tijdig te vernieuwen, wordt er voor het huwelijk en de wettelijke samenwoning van bepaalde duur voorzien in een systeem van stilzwijgende vernieuwing. Dit om te voorkomen dat het huwelijk en de wettelijke samenwoning plots, buiten hun weten om, omwille van nalatigheid van de echtgenoten of wettelijk samenwonenden, ontbonden of beëindigd wordt.</w:t>
      </w:r>
    </w:p>
    <w:p w14:paraId="176A2EF6" w14:textId="77777777" w:rsidR="00BD18A3" w:rsidRDefault="00BD18A3" w:rsidP="00BD18A3">
      <w:pPr>
        <w:pStyle w:val="Lijstalinea"/>
      </w:pPr>
    </w:p>
    <w:p w14:paraId="5F98439F" w14:textId="77777777" w:rsidR="00BD18A3" w:rsidRDefault="00BD18A3" w:rsidP="00BD18A3">
      <w:pPr>
        <w:pStyle w:val="Lijstalinea"/>
        <w:numPr>
          <w:ilvl w:val="0"/>
          <w:numId w:val="26"/>
        </w:numPr>
        <w:ind w:left="0" w:firstLine="0"/>
      </w:pPr>
      <w:r>
        <w:t xml:space="preserve">Het huwelijk en de wettelijke samenwoning zal stilzwijgend worden vernieuwd op twee voorwaarden. </w:t>
      </w:r>
    </w:p>
    <w:p w14:paraId="6F6703B3" w14:textId="77777777" w:rsidR="00BD18A3" w:rsidRDefault="00BD18A3" w:rsidP="00BD18A3">
      <w:pPr>
        <w:pStyle w:val="Lijstalinea"/>
      </w:pPr>
    </w:p>
    <w:p w14:paraId="5E05DB2B" w14:textId="77777777" w:rsidR="00BD18A3" w:rsidRDefault="00BD18A3" w:rsidP="00BD18A3">
      <w:pPr>
        <w:pStyle w:val="Lijstalinea"/>
      </w:pPr>
      <w:r>
        <w:t>De eerste voorwaarde houdt in dat beide echtgenoten of wettelijk samenwonenden hun huwelijks– of samenlevingsverplichtingen verder blijven uitvoeren na het verstrijken van de uitdovende tijdsbepaling.</w:t>
      </w:r>
      <w:r>
        <w:rPr>
          <w:rStyle w:val="Voetnootmarkering"/>
        </w:rPr>
        <w:footnoteReference w:id="153"/>
      </w:r>
      <w:r>
        <w:t xml:space="preserve"> Uit de feiten en gedragingen van de echtgenoten of wettelijk samenwonenden hoort de wil om gehuwd of wettelijk samenwonend te blijven, teruggevonden te worden. </w:t>
      </w:r>
    </w:p>
    <w:p w14:paraId="21B5E541" w14:textId="77777777" w:rsidR="00BD18A3" w:rsidRDefault="00BD18A3" w:rsidP="00BD18A3">
      <w:pPr>
        <w:pStyle w:val="Lijstalinea"/>
      </w:pPr>
    </w:p>
    <w:p w14:paraId="5A289FEA" w14:textId="77777777" w:rsidR="00BD18A3" w:rsidRDefault="00BD18A3" w:rsidP="00BD18A3">
      <w:pPr>
        <w:pStyle w:val="Lijstalinea"/>
      </w:pPr>
      <w:r>
        <w:t>Ten tweede kan er zich enkel een vernieuwing van het huwelijk of de wettelijke samenwoning voordoen wanneer geen van beide echtgenoten of wettelijk samenwonenden hiertegen verzet pleegt.</w:t>
      </w:r>
      <w:r>
        <w:rPr>
          <w:rStyle w:val="Voetnootmarkering"/>
        </w:rPr>
        <w:footnoteReference w:id="154"/>
      </w:r>
      <w:r>
        <w:t xml:space="preserve"> Dit betekent dat vanaf het moment dat één van beide echtgenoten of wettelijk samenwonenden te kennen geeft, bij het verstrijken van de tijdsbepaling, niet te wensen vernieuwen, er geen stilzwijgende vernieuwing zal plaatsvinden.</w:t>
      </w:r>
    </w:p>
    <w:p w14:paraId="638BC1C7" w14:textId="77777777" w:rsidR="00BD18A3" w:rsidRDefault="00BD18A3" w:rsidP="00BD18A3"/>
    <w:p w14:paraId="0395CD1B" w14:textId="77777777" w:rsidR="00BD18A3" w:rsidRDefault="00BD18A3" w:rsidP="00BD18A3">
      <w:pPr>
        <w:pStyle w:val="Lijstalinea"/>
        <w:numPr>
          <w:ilvl w:val="0"/>
          <w:numId w:val="26"/>
        </w:numPr>
        <w:ind w:left="0" w:firstLine="0"/>
      </w:pPr>
      <w:r>
        <w:t xml:space="preserve">Het huwelijk en de wettelijke samenwoning zal in deze veronderstelling worden vernieuwd onder dezelfde uitdovende tijdsbepaling en onder dezelfde </w:t>
      </w:r>
      <w:r w:rsidRPr="003C115D">
        <w:rPr>
          <w:lang w:val="nl-NL"/>
        </w:rPr>
        <w:t>relatievermogensrechtelijke</w:t>
      </w:r>
      <w:r>
        <w:t xml:space="preserve"> regeling als het initiële huwelijk of wettelijke samenwoning. Echter stelt het Burgerlijk Wetboek dat het nieuwe contract, dat ontstaat door vernieuwing, zal gesloten worden voor onbepaalde duur, tenzij anders bepaald door de wet of partijen.</w:t>
      </w:r>
      <w:r>
        <w:rPr>
          <w:rStyle w:val="Voetnootmarkering"/>
        </w:rPr>
        <w:footnoteReference w:id="155"/>
      </w:r>
      <w:r>
        <w:t xml:space="preserve"> Aangezien deze hypothese uitgaat van een stilzwijgende vernieuwing zullen partijen geen andersluidende wil uiten. Het zal dus de taak van de wetgever zijn om in te grijpen, zodoende dat er geen contract van onbepaalde duur ontstaat, maar een contract dat aan dezelfde uitdovende tijdsbepaling en aan dezelfde </w:t>
      </w:r>
      <w:r w:rsidRPr="003C115D">
        <w:rPr>
          <w:lang w:val="nl-NL"/>
        </w:rPr>
        <w:t xml:space="preserve">relatievermogensrechtelijke </w:t>
      </w:r>
      <w:r>
        <w:t xml:space="preserve">regeling onderworpen is. </w:t>
      </w:r>
    </w:p>
    <w:p w14:paraId="24EA482C" w14:textId="77777777" w:rsidR="00BD18A3" w:rsidRDefault="00BD18A3" w:rsidP="00BD18A3">
      <w:pPr>
        <w:pStyle w:val="Lijstalinea"/>
      </w:pPr>
    </w:p>
    <w:p w14:paraId="4ADF7EC6" w14:textId="77777777" w:rsidR="00BD18A3" w:rsidRDefault="00BD18A3" w:rsidP="00BD18A3">
      <w:pPr>
        <w:pStyle w:val="Lijstalinea"/>
      </w:pPr>
      <w:r>
        <w:t>Het lijkt opportuun om dit in de wetgeving in te schrijven, aangezien echtgenoten en wettelijke samenwoners anders overschakelen naar het stelsel van het huwelijk en de wettelijke samenwoning van onbepaalde duur. Het zou nogal vergaand zijn dat echtgenoten en wettelijk samenwonenden stilzwijgend en dus vaak onbewust overstappen naar het positiefrechtelijke systeem van de onbepaalde duur. Dit terwijl dezen aanvankelijk net expliciet kozen voor de bepaalde duur.</w:t>
      </w:r>
    </w:p>
    <w:p w14:paraId="7B0F5402" w14:textId="77777777" w:rsidR="00BD18A3" w:rsidRDefault="00BD18A3" w:rsidP="00BD18A3"/>
    <w:p w14:paraId="1616C804" w14:textId="77777777" w:rsidR="00BD18A3" w:rsidRDefault="00BD18A3" w:rsidP="00BD18A3">
      <w:pPr>
        <w:pStyle w:val="Lijstalinea"/>
        <w:numPr>
          <w:ilvl w:val="0"/>
          <w:numId w:val="26"/>
        </w:numPr>
        <w:ind w:left="0" w:firstLine="0"/>
      </w:pPr>
      <w:r>
        <w:lastRenderedPageBreak/>
        <w:t xml:space="preserve">De huwelijks- en samenlevingsovereenkomst die door stilzwijgende vernieuwing tot stand komt, is aan dezelfde uitdovende tijdsbepaling en dezelfde </w:t>
      </w:r>
      <w:r w:rsidRPr="0062306C">
        <w:rPr>
          <w:lang w:val="nl-NL"/>
        </w:rPr>
        <w:t xml:space="preserve">relatievermogensrechtelijke </w:t>
      </w:r>
      <w:r>
        <w:t>regeling onderworpen als de initiële huwelijks- of samenlevingsovereenkomst. De stilzwijgende vernieuwing loopt dus gelijk met de hypothese van de verlenging van het huwelijk of de wettelijke samenwoning (</w:t>
      </w:r>
      <w:r w:rsidRPr="009B2654">
        <w:rPr>
          <w:i/>
          <w:iCs/>
        </w:rPr>
        <w:t xml:space="preserve">supra </w:t>
      </w:r>
      <w:r w:rsidRPr="009B2654">
        <w:t>randnummer 10</w:t>
      </w:r>
      <w:r>
        <w:t>7</w:t>
      </w:r>
      <w:r w:rsidRPr="009B2654">
        <w:t>).</w:t>
      </w:r>
      <w:r>
        <w:t xml:space="preserve"> Voor de stilzwijgende vernieuwing zal er bijgevolg ook geen bezoek aan de notaris nodig zijn. Dit door ook hier bij de desbetreffende artikelen over de notariële vormvereiste in te schrijven dat een stilzwijgende vernieuwing niet bij notariële akte verleden wordt.</w:t>
      </w:r>
      <w:r>
        <w:rPr>
          <w:rStyle w:val="Voetnootmarkering"/>
        </w:rPr>
        <w:footnoteReference w:id="156"/>
      </w:r>
      <w:r>
        <w:t xml:space="preserve"> Dit aangezien de rol van de notaris als informatieverstrekker als is uitgespeeld bij het notarieel opstellen van de initiële huwelijks- of samenlevingsovereenkomst.</w:t>
      </w:r>
      <w:r>
        <w:rPr>
          <w:rStyle w:val="Voetnootmarkering"/>
        </w:rPr>
        <w:footnoteReference w:id="157"/>
      </w:r>
      <w:r>
        <w:t xml:space="preserve"> De ambtenaar van de burgerlijke stand zal vervolgens, voor de stilzwijgende vernieuwing van het huwelijk, de vernieuwde akte opnemen in de Databank van Akten van de Burgerlijke Stand.</w:t>
      </w:r>
      <w:r>
        <w:rPr>
          <w:rStyle w:val="Voetnootmarkering"/>
        </w:rPr>
        <w:footnoteReference w:id="158"/>
      </w:r>
      <w:r>
        <w:t xml:space="preserve"> Voor wat betreft de stilzwijgende vernieuwing van de wettelijke samenwoning maakt de ambtenaar van de burgerlijke stand hiervan melding in het bevolkingsregister.</w:t>
      </w:r>
      <w:r>
        <w:rPr>
          <w:rStyle w:val="Voetnootmarkering"/>
        </w:rPr>
        <w:footnoteReference w:id="159"/>
      </w:r>
    </w:p>
    <w:p w14:paraId="0303FB87" w14:textId="77777777" w:rsidR="00BD18A3" w:rsidRDefault="00BD18A3" w:rsidP="00BD18A3">
      <w:pPr>
        <w:pStyle w:val="Lijstalinea"/>
      </w:pPr>
    </w:p>
    <w:p w14:paraId="4AD514C0" w14:textId="77777777" w:rsidR="00BD18A3" w:rsidRDefault="00BD18A3" w:rsidP="00BD18A3">
      <w:pPr>
        <w:pStyle w:val="Lijstalinea"/>
        <w:numPr>
          <w:ilvl w:val="0"/>
          <w:numId w:val="26"/>
        </w:numPr>
        <w:ind w:left="0" w:firstLine="0"/>
      </w:pPr>
      <w:r>
        <w:t>Het belang van een stilzwijgende vernieuwing van het huwelijk en de wettelijk samenwoning mag niet miskend worden. Stel de realistische hypothese waarbij twee mensen op leeftijd voor bepaalde duur gehuwd of wettelijk samenwonend zijn en waarbij één van hen handelingsonbekwaam (bijvoorbeeld door dementie) is geworden. Zij zouden voor het vernieuwen van hun huwelijk of wettelijke samenwoning moeten voldoen aan de geldigheidsvereisten voor het afsluiten van een contract.</w:t>
      </w:r>
      <w:r>
        <w:rPr>
          <w:rStyle w:val="Voetnootmarkering"/>
        </w:rPr>
        <w:footnoteReference w:id="160"/>
      </w:r>
      <w:r>
        <w:t xml:space="preserve"> Echter zal de handelingsonbekwame echtgenoot of wettelijk samenwonende in dat geval niet meer bekwaam zijn om te contracteren. Bij het verstrijken van de tijdsbepaling zal de uitdovende tijdsbepaling, het huwelijk of de wettelijke samenwoning bijgevolg van rechtswege en onherroepelijk ontbinden of beëindigen. Ook al wensen beiden gehuwd of wettelijk samenwonend te blijven. Om uit dit juridisch vacuüm te breken is een stilzwijgende vernieuwing van het huwelijk of de wettelijke samenwoning primordiaal.</w:t>
      </w:r>
    </w:p>
    <w:p w14:paraId="6B89F81F" w14:textId="77777777" w:rsidR="00BD18A3" w:rsidRDefault="00BD18A3" w:rsidP="00BD18A3">
      <w:pPr>
        <w:pStyle w:val="Lijstalinea"/>
      </w:pPr>
    </w:p>
    <w:p w14:paraId="27009D19" w14:textId="77777777" w:rsidR="00BD18A3" w:rsidRDefault="00BD18A3" w:rsidP="00BD18A3">
      <w:pPr>
        <w:pStyle w:val="Lijstalinea"/>
        <w:numPr>
          <w:ilvl w:val="0"/>
          <w:numId w:val="26"/>
        </w:numPr>
        <w:ind w:left="0" w:firstLine="0"/>
      </w:pPr>
      <w:r>
        <w:t xml:space="preserve">Het scenario waar partners zelf de regie van hun huwelijk of wettelijke samenwoning in de hand willen hebben, is tevens denkbaar. Echtgenoten of wettelijk samenwonenden kunnen de stilzwijgende vernieuwing van hun relatievorm uitsluiten. Dit doen ze door uitdrukkelijk in hun huwelijks- of samenlevingsovereenkomst op te nemen dat ze een stilzwijgende vernieuwing wensen te weren. Dit gebeurt binnen de huwelijks- </w:t>
      </w:r>
      <w:r>
        <w:lastRenderedPageBreak/>
        <w:t>of samenlevingsovereenkomst, dewelke bij notariële akte verleden wordt.</w:t>
      </w:r>
      <w:r>
        <w:rPr>
          <w:rStyle w:val="Voetnootmarkering"/>
        </w:rPr>
        <w:footnoteReference w:id="161"/>
      </w:r>
      <w:r>
        <w:t xml:space="preserve"> Hierdoor kan de notaris de echtgenoten of wettelijk samenwonenden wijzen op de gevolgen van een van rechtswege ontbinding of beëindiging van de relatievorm.</w:t>
      </w:r>
      <w:r>
        <w:rPr>
          <w:rStyle w:val="Voetnootmarkering"/>
        </w:rPr>
        <w:footnoteReference w:id="162"/>
      </w:r>
      <w:r>
        <w:t xml:space="preserve"> Wanneer zij hier alsnog voor opteren, verzekeren de echtgenoten en wettelijk samenwonenden dat hun huwelijk of wettelijke samenwoning na het verstrijken van de tijdsbepaling niet voor dezelfde duur zal heropleven. Indien zij voor het verstrijken van de tijdsbepaling hun relatievorm niet uitdrukkelijk verlengd of vernieuwd hebben </w:t>
      </w:r>
      <w:r w:rsidRPr="00B96F15">
        <w:t>(</w:t>
      </w:r>
      <w:r w:rsidRPr="00B96F15">
        <w:rPr>
          <w:i/>
          <w:iCs/>
        </w:rPr>
        <w:t>supra</w:t>
      </w:r>
      <w:r w:rsidRPr="00B96F15">
        <w:t xml:space="preserve"> randnummer 100 e.v.), zal</w:t>
      </w:r>
      <w:r>
        <w:t xml:space="preserve"> hun huwelijk of wettelijke samenwoning een definitief einde kennen bij het verstrijken van de uitdovende tijdsbepaling.</w:t>
      </w:r>
    </w:p>
    <w:p w14:paraId="5D9787D8" w14:textId="77777777" w:rsidR="00BD18A3" w:rsidRDefault="00BD18A3" w:rsidP="00BD18A3">
      <w:pPr>
        <w:pStyle w:val="Kop3"/>
        <w:numPr>
          <w:ilvl w:val="0"/>
          <w:numId w:val="18"/>
        </w:numPr>
      </w:pPr>
      <w:bookmarkStart w:id="62" w:name="_Toc167990483"/>
      <w:r>
        <w:t>Hernieuwing</w:t>
      </w:r>
      <w:bookmarkEnd w:id="62"/>
    </w:p>
    <w:p w14:paraId="1943596A" w14:textId="77777777" w:rsidR="00BD18A3" w:rsidRDefault="00BD18A3" w:rsidP="00BD18A3">
      <w:pPr>
        <w:pStyle w:val="Lijstalinea"/>
        <w:numPr>
          <w:ilvl w:val="0"/>
          <w:numId w:val="26"/>
        </w:numPr>
        <w:ind w:left="0" w:firstLine="0"/>
      </w:pPr>
      <w:r>
        <w:t>Hernieuwing betreft de situatie waarbij echtgenoten of wettelijk samenwonenden hun huwelijk of wettelijke samenwoning wensen verder te zetten, maar in tegenstelling tot de verlenging of vernieuwing, op niet identieke wijze. De hernieuwing zal zich voltrekken door middel van een wijziging van de huwelijks- of samenlevingsovereenkomst.</w:t>
      </w:r>
      <w:r>
        <w:rPr>
          <w:rStyle w:val="Voetnootmarkering"/>
        </w:rPr>
        <w:footnoteReference w:id="163"/>
      </w:r>
    </w:p>
    <w:p w14:paraId="47C9F938" w14:textId="77777777" w:rsidR="00BD18A3" w:rsidRDefault="00BD18A3" w:rsidP="00BD18A3">
      <w:pPr>
        <w:pStyle w:val="Lijstalinea"/>
      </w:pPr>
    </w:p>
    <w:p w14:paraId="2A6ABEA6" w14:textId="77777777" w:rsidR="00BD18A3" w:rsidRDefault="00BD18A3" w:rsidP="00BD18A3">
      <w:pPr>
        <w:pStyle w:val="Lijstalinea"/>
        <w:numPr>
          <w:ilvl w:val="0"/>
          <w:numId w:val="26"/>
        </w:numPr>
        <w:ind w:left="0" w:firstLine="0"/>
      </w:pPr>
      <w:r>
        <w:t>In deze hypothese hebben beide echtgenoten of wettelijk samenwonenden ook een akkoord waardoor ze hun respectievelijke huwelijks- of samenlevingsovereenkomst, kunnen wijzigen. Echter willen de echtgenoten of wettelijk samenwonenden in deze hypothese niet aan identieke, maar aan andere modaliteiten hun relatievorm hernieuwen. Het staat echtgenoten en wettelijk samenwonenden namelijk vrij hun huwelijks- of samenlevingsvermogensstelsel gedurende het huwelijk of de wettelijke samenwoning te wijzigen of zelfs een ander stelsel aan te nemen.</w:t>
      </w:r>
      <w:r>
        <w:rPr>
          <w:rStyle w:val="Voetnootmarkering"/>
        </w:rPr>
        <w:footnoteReference w:id="164"/>
      </w:r>
      <w:r>
        <w:t xml:space="preserve"> Er zal dan een nieuw contract tot stand komen dat niet identiek, maar verschillend is aan het vorige, al dan niet voor bepaalde duur (</w:t>
      </w:r>
      <w:r w:rsidRPr="00144757">
        <w:rPr>
          <w:i/>
          <w:iCs/>
        </w:rPr>
        <w:t>ergo</w:t>
      </w:r>
      <w:r>
        <w:t>: met of zonder uitdovende tijdsbepaling). De werkwijze zal hiervoor grotendeels gelijklopen met de reeds bestaande procedure voor de wijziging van het huwelijks- of samenlevingscontract tijdens het respectievelijke huwelijk of de wettelijke samenwoning.</w:t>
      </w:r>
      <w:r>
        <w:rPr>
          <w:rStyle w:val="Voetnootmarkering"/>
        </w:rPr>
        <w:footnoteReference w:id="165"/>
      </w:r>
    </w:p>
    <w:p w14:paraId="5C20AFF5" w14:textId="77777777" w:rsidR="00BD18A3" w:rsidRDefault="00BD18A3" w:rsidP="00BD18A3">
      <w:pPr>
        <w:pStyle w:val="Kop4"/>
        <w:numPr>
          <w:ilvl w:val="0"/>
          <w:numId w:val="20"/>
        </w:numPr>
      </w:pPr>
      <w:bookmarkStart w:id="63" w:name="_Toc167990484"/>
      <w:r>
        <w:t>Hernieuwing voor bepaalde duur</w:t>
      </w:r>
      <w:bookmarkEnd w:id="63"/>
    </w:p>
    <w:p w14:paraId="6D0B390C" w14:textId="77777777" w:rsidR="00BD18A3" w:rsidRDefault="00BD18A3" w:rsidP="00BD18A3">
      <w:pPr>
        <w:pStyle w:val="Lijstalinea"/>
        <w:numPr>
          <w:ilvl w:val="0"/>
          <w:numId w:val="26"/>
        </w:numPr>
        <w:ind w:left="0" w:firstLine="0"/>
      </w:pPr>
      <w:r>
        <w:t>Wanneer echtgenoten en wettelijk samenwonenden verder wensen gehuwd te blijven of wettelijk samenwonend te zijn voor bepaalde duur (</w:t>
      </w:r>
      <w:r w:rsidRPr="00144757">
        <w:rPr>
          <w:i/>
          <w:iCs/>
        </w:rPr>
        <w:t>ergo</w:t>
      </w:r>
      <w:r>
        <w:t xml:space="preserve">: </w:t>
      </w:r>
      <w:r w:rsidRPr="003931CE">
        <w:t>met</w:t>
      </w:r>
      <w:r>
        <w:t xml:space="preserve"> uitdovende tijdsbepaling), maar tegen andere modaliteiten, kunnen zij opteren voor de hernieuwing voor bepaalde duur van het huwelijk en de wettelijke samenwoning. Dit onderdeel </w:t>
      </w:r>
      <w:r>
        <w:lastRenderedPageBreak/>
        <w:t xml:space="preserve">bespreekt de hypothese waarbij de echtgenoten en wettelijk samenwonenden hun relatievorm wensen verder te zetten op niet identieke wijze, zijnde door wijzigingen in hun </w:t>
      </w:r>
      <w:r w:rsidRPr="005330D3">
        <w:rPr>
          <w:lang w:val="nl-NL"/>
        </w:rPr>
        <w:t xml:space="preserve">relatievermogensrechtelijke overeenkomst </w:t>
      </w:r>
      <w:r>
        <w:t>door te voeren. Dit wederom voor een bepaalde duur, door opnieuw een uitdovende tijdsbepaling te bedingen. Het contract dat hierbij tot stand komt, zal terug voor bepaalde duur zijn, aangezien er geopteerd wordt een uitdovende tijdsbepaling toe te voegen.</w:t>
      </w:r>
      <w:r>
        <w:rPr>
          <w:rStyle w:val="Voetnootmarkering"/>
        </w:rPr>
        <w:footnoteReference w:id="166"/>
      </w:r>
      <w:r>
        <w:t xml:space="preserve"> Dit vloeit voort uit de wil van de partijen.</w:t>
      </w:r>
      <w:r>
        <w:rPr>
          <w:rStyle w:val="Voetnootmarkering"/>
        </w:rPr>
        <w:footnoteReference w:id="167"/>
      </w:r>
    </w:p>
    <w:p w14:paraId="6298628A" w14:textId="77777777" w:rsidR="00BD18A3" w:rsidRDefault="00BD18A3" w:rsidP="00BD18A3">
      <w:pPr>
        <w:pStyle w:val="Lijstalinea"/>
      </w:pPr>
    </w:p>
    <w:p w14:paraId="0B09389B" w14:textId="77777777" w:rsidR="00BD18A3" w:rsidRDefault="00BD18A3" w:rsidP="00BD18A3">
      <w:pPr>
        <w:pStyle w:val="Lijstalinea"/>
        <w:numPr>
          <w:ilvl w:val="0"/>
          <w:numId w:val="26"/>
        </w:numPr>
        <w:ind w:left="0" w:firstLine="0"/>
      </w:pPr>
      <w:r>
        <w:t xml:space="preserve">Dergelijke hernieuwing van het huwelijk of de wettelijke samenwoning raakt aan het instituut van het huwelijk en de wettelijke samenwoning. Hierdoor is een hernieuwing van het huwelijk of de wettelijke samenwoning gebonden aan de specifieke regels van dwingend recht. In tegenstelling tot de verlenging of vernieuwing van het huwelijk en de wettelijke samenwoning zal er niet worden voorzien in een vereenvoudigde procedure </w:t>
      </w:r>
      <w:r w:rsidRPr="00E915C9">
        <w:t>(</w:t>
      </w:r>
      <w:r w:rsidRPr="00E915C9">
        <w:rPr>
          <w:i/>
        </w:rPr>
        <w:t xml:space="preserve">supra </w:t>
      </w:r>
      <w:r w:rsidRPr="00E915C9">
        <w:t>randnummer</w:t>
      </w:r>
      <w:r>
        <w:t xml:space="preserve"> 107)</w:t>
      </w:r>
      <w:r w:rsidRPr="00E915C9">
        <w:t>, w</w:t>
      </w:r>
      <w:r>
        <w:t>aarbij de verlenging of vernieuwing niet in notariële akte verleden wordt. In deze hypothese lijkt het juist niet verstandig, om de vormvereiste van de notariële akte en bijgevolg de informatieplicht van de notaris die hieraan verbonden is, buitenspel te zetten.</w:t>
      </w:r>
      <w:r>
        <w:rPr>
          <w:rStyle w:val="Voetnootmarkering"/>
        </w:rPr>
        <w:footnoteReference w:id="168"/>
      </w:r>
      <w:r>
        <w:t xml:space="preserve"> Aangezien in dit geval de echtgenoten en wettelijk samenwonenden voor andere modaliteiten kiezen, wat een impact kan hebben op de </w:t>
      </w:r>
      <w:r w:rsidRPr="00506767">
        <w:rPr>
          <w:lang w:val="nl-NL"/>
        </w:rPr>
        <w:t xml:space="preserve">relatievermogensrechtelijke </w:t>
      </w:r>
      <w:r>
        <w:t>regeling, lijkt de notaris net de aangewezen persoon om dit proces in goede banen te leiden. Op deze wijze wordt er voldaan aan de vormvereiste van de notariële akte en kan de notaris voorzien in zijn wettelijke informatieplicht.</w:t>
      </w:r>
      <w:r>
        <w:rPr>
          <w:rStyle w:val="Voetnootmarkering"/>
        </w:rPr>
        <w:footnoteReference w:id="169"/>
      </w:r>
    </w:p>
    <w:p w14:paraId="7BCD3812" w14:textId="77777777" w:rsidR="00BD18A3" w:rsidRDefault="00BD18A3" w:rsidP="00BD18A3">
      <w:pPr>
        <w:pStyle w:val="Lijstalinea"/>
      </w:pPr>
    </w:p>
    <w:p w14:paraId="0AECF95D" w14:textId="77777777" w:rsidR="00BD18A3" w:rsidRDefault="00BD18A3" w:rsidP="00BD18A3">
      <w:pPr>
        <w:pStyle w:val="Lijstalinea"/>
        <w:numPr>
          <w:ilvl w:val="0"/>
          <w:numId w:val="26"/>
        </w:numPr>
        <w:ind w:left="0" w:firstLine="0"/>
      </w:pPr>
      <w:r>
        <w:t xml:space="preserve">De hypothese van hernieuwing van het huwelijk of de wettelijke samenwoning heeft tot doel de relatievorm door andere modaliteiten vorm te geven. Dit kan een wijziging van het huwelijks- of samenlevingsvermogensstelsel impliceren. Indien </w:t>
      </w:r>
      <w:r w:rsidRPr="006C38AC">
        <w:t>de wijziging van het huwelijk</w:t>
      </w:r>
      <w:r>
        <w:t xml:space="preserve">vermogensstelsel </w:t>
      </w:r>
      <w:r w:rsidRPr="006C38AC">
        <w:t>de vereffening van het vorige stelsel tot gevolg heeft</w:t>
      </w:r>
      <w:r>
        <w:t xml:space="preserve">, zal er voorafgaand aan de hernieuwing een </w:t>
      </w:r>
      <w:r w:rsidRPr="006C38AC">
        <w:t>boedelbeschrijving van alle roerende en onroerende goederen en van de schulden van de echtgenoten</w:t>
      </w:r>
      <w:r>
        <w:t xml:space="preserve"> moeten worden opgemaakt. Deze boedelbeschrijving zal worden vastgesteld bij notariële akte.</w:t>
      </w:r>
      <w:r>
        <w:rPr>
          <w:rStyle w:val="Voetnootmarkering"/>
        </w:rPr>
        <w:footnoteReference w:id="170"/>
      </w:r>
      <w:r>
        <w:t xml:space="preserve"> In het geval de </w:t>
      </w:r>
      <w:r w:rsidRPr="006C38AC">
        <w:t>wijziging van het huwelijk</w:t>
      </w:r>
      <w:r>
        <w:t>s</w:t>
      </w:r>
      <w:r w:rsidRPr="006C38AC">
        <w:t>vermogensstelsel</w:t>
      </w:r>
      <w:r>
        <w:t xml:space="preserve"> niet leidt tot een vereffening, zal er enkel een voorafgaande boedelbeschrijving worden opgemaakt op verzoek van één van de echtgenoten. </w:t>
      </w:r>
      <w:r w:rsidRPr="002C3709">
        <w:t>In dat geval kan de boedelbeschrijving worden opgemaakt op grond van verklaringen, voor zover beide echtgenoten hiermee akkoord gaan.</w:t>
      </w:r>
      <w:r>
        <w:rPr>
          <w:rStyle w:val="Voetnootmarkering"/>
        </w:rPr>
        <w:footnoteReference w:id="171"/>
      </w:r>
    </w:p>
    <w:p w14:paraId="40270AC6" w14:textId="77777777" w:rsidR="00BD18A3" w:rsidRDefault="00BD18A3" w:rsidP="00BD18A3">
      <w:pPr>
        <w:pStyle w:val="Lijstalinea"/>
        <w:numPr>
          <w:ilvl w:val="0"/>
          <w:numId w:val="26"/>
        </w:numPr>
        <w:ind w:left="0" w:firstLine="0"/>
      </w:pPr>
      <w:r>
        <w:lastRenderedPageBreak/>
        <w:t xml:space="preserve">Zoals eerder aangehaald is de notaris geen instrumenterende ambtenaar. Het is dus niet de taak van de notaris, maar van de ambtenaar van de burgerlijke stand om het huwelijk of de wettelijke samenwoning te hernieuwen </w:t>
      </w:r>
      <w:r w:rsidRPr="000E67B5">
        <w:t>(</w:t>
      </w:r>
      <w:r w:rsidRPr="000E67B5">
        <w:rPr>
          <w:i/>
          <w:iCs/>
        </w:rPr>
        <w:t>supra</w:t>
      </w:r>
      <w:r w:rsidRPr="000E67B5">
        <w:t xml:space="preserve"> randnummer 106</w:t>
      </w:r>
      <w:r>
        <w:t>). De authentieke akte van wijziging van de huwelijks- of samenlevingsovereenkomst zal worden overhandigd aan de ambtenaar van de burgerlijke stand, zodat deze op rechtsgeldige wijze het huwelijk en de wettelijk samenwoning kan hernieuwen. Dit voltrekt zich door de akte van hernieuwing van het huwelijk op te nemen in de Databank van Akten van de Burgerlijke Stand.</w:t>
      </w:r>
      <w:r>
        <w:rPr>
          <w:rStyle w:val="Voetnootmarkering"/>
        </w:rPr>
        <w:footnoteReference w:id="172"/>
      </w:r>
      <w:r>
        <w:t xml:space="preserve"> De wettelijke samenwoning wordt op rechtsgeldige wijze hernieuwd door er melding van te maken in het bevolkingsregister.</w:t>
      </w:r>
      <w:r>
        <w:rPr>
          <w:rStyle w:val="Voetnootmarkering"/>
        </w:rPr>
        <w:footnoteReference w:id="173"/>
      </w:r>
      <w:r>
        <w:t xml:space="preserve"> De gewijzigde huwelijks- of samenlevingsovereenkomst zal tussen de echtgenoten en wettelijk samenwonenden uitwerking krijgen vanaf de datum van de akte, het moment waarop de notaris de akte verlijdt.</w:t>
      </w:r>
      <w:r>
        <w:rPr>
          <w:rStyle w:val="Voetnootmarkering"/>
        </w:rPr>
        <w:footnoteReference w:id="174"/>
      </w:r>
      <w:r>
        <w:t xml:space="preserve"> Tegenover derden zal de gewijzigde huwelijks- of samenlevingsovereenkomst echter pas uitwerking hebben vanaf </w:t>
      </w:r>
      <w:r w:rsidRPr="00E91C0E">
        <w:t>de inschrijving ervan in het centraal register voor huwelijksovereenkomsten</w:t>
      </w:r>
      <w:r>
        <w:t>. Wanneer echtgenoten of wettelijk samenwonenden bij het sluiten van een overeenkomst met een derde, deze inlicht over de wijziging van hun huwelijks- of samenlevingsovereenkomst, zal de hernieuwing wel uitwerking hebben op deze derde.</w:t>
      </w:r>
      <w:r>
        <w:rPr>
          <w:rStyle w:val="Voetnootmarkering"/>
        </w:rPr>
        <w:footnoteReference w:id="175"/>
      </w:r>
    </w:p>
    <w:p w14:paraId="34D52B4B" w14:textId="77777777" w:rsidR="00BD18A3" w:rsidRDefault="00BD18A3" w:rsidP="00BD18A3">
      <w:pPr>
        <w:pStyle w:val="Lijstalinea"/>
      </w:pPr>
    </w:p>
    <w:p w14:paraId="70EA9C28" w14:textId="77777777" w:rsidR="00BD18A3" w:rsidRDefault="00BD18A3" w:rsidP="00BD18A3">
      <w:pPr>
        <w:pStyle w:val="Lijstalinea"/>
        <w:numPr>
          <w:ilvl w:val="0"/>
          <w:numId w:val="26"/>
        </w:numPr>
        <w:ind w:left="0" w:firstLine="0"/>
      </w:pPr>
      <w:r>
        <w:t>Concluderend kan er worden gesteld dat een hernieuwing van het huwelijk en de wettelijke samenwoning voor een nieuw bedongen duur en onder andere modaliteiten, tevens mogelijk is. Dergelijke hernieuwing dient echter wel te gebeuren onder toeziend oog van een notaris en wordt bijgevolg bij notariële akte vastgesteld. Dit teneinde de informatieverplichting van de notaris ten volle te laten spelen en zijn rol als boedelbeschrijver te kunnen laten vervullen.</w:t>
      </w:r>
    </w:p>
    <w:p w14:paraId="7375A868" w14:textId="77777777" w:rsidR="00BD18A3" w:rsidRDefault="00BD18A3" w:rsidP="00BD18A3">
      <w:pPr>
        <w:pStyle w:val="Kop4"/>
        <w:numPr>
          <w:ilvl w:val="0"/>
          <w:numId w:val="20"/>
        </w:numPr>
      </w:pPr>
      <w:bookmarkStart w:id="64" w:name="_Toc167990485"/>
      <w:r>
        <w:t>Hernieuwing voor onbepaalde duur</w:t>
      </w:r>
      <w:bookmarkEnd w:id="64"/>
    </w:p>
    <w:p w14:paraId="03CAA3FB" w14:textId="77777777" w:rsidR="00BD18A3" w:rsidRDefault="00BD18A3" w:rsidP="00BD18A3">
      <w:pPr>
        <w:pStyle w:val="Lijstalinea"/>
        <w:numPr>
          <w:ilvl w:val="0"/>
          <w:numId w:val="26"/>
        </w:numPr>
        <w:ind w:left="0" w:firstLine="0"/>
      </w:pPr>
      <w:r>
        <w:t>Wanneer echtgenoten en wettelijk samenwonenden verder wensen gehuwd te blijven of wettelijk samenwonend te zijn en willen overschakelen naar het regime voor onbepaalde duur (</w:t>
      </w:r>
      <w:r w:rsidRPr="00960105">
        <w:rPr>
          <w:i/>
          <w:iCs/>
        </w:rPr>
        <w:t>ergo</w:t>
      </w:r>
      <w:r>
        <w:t xml:space="preserve">: </w:t>
      </w:r>
      <w:r w:rsidRPr="005856D8">
        <w:t>zonder</w:t>
      </w:r>
      <w:r>
        <w:t xml:space="preserve"> uitdovende tijdsbepaling), al dan niet tegen andere modaliteiten, kunnen zij opteren voor de hernieuwing voor onbepaalde duur van het huwelijk en de wettelijke samenwoning. Dit onderdeel gaat dieper in op de hypothese waar echtgenoten of wettelijk samenwonenden een vervolg aan hun huwelijk of wettelijke samenwoning wensen te breien. Dit maal voor een onbepaalde duur, door geen uitdovende tijdsbepaling op te nemen, met al dan niet andere modaliteiten. In dit geval kunnen </w:t>
      </w:r>
      <w:r>
        <w:lastRenderedPageBreak/>
        <w:t>echtgenoten en wettelijk samenwonenden opteren voor de hernieuwing voor onbepaalde duur van het huwelijk en de wettelijke samenwoning.</w:t>
      </w:r>
    </w:p>
    <w:p w14:paraId="100193F3" w14:textId="77777777" w:rsidR="00BD18A3" w:rsidRDefault="00BD18A3" w:rsidP="00BD18A3">
      <w:pPr>
        <w:pStyle w:val="Lijstalinea"/>
      </w:pPr>
    </w:p>
    <w:p w14:paraId="27959ADC" w14:textId="77777777" w:rsidR="00BD18A3" w:rsidRDefault="00BD18A3" w:rsidP="00BD18A3">
      <w:pPr>
        <w:pStyle w:val="Lijstalinea"/>
        <w:numPr>
          <w:ilvl w:val="0"/>
          <w:numId w:val="26"/>
        </w:numPr>
        <w:ind w:left="0" w:firstLine="0"/>
      </w:pPr>
      <w:r>
        <w:t>Aangezien deze hypothese een hernieuwing van het huwelijk of de wettelijke samenwoning betreft, zal het huwelijk of de wettelijke samenwoning worden verdergezet op een niet identieke wijze. Dit in tegenstelling tot de verlenging of vernieuwing. Bij de hernieuwing van het huwelijk of de wettelijke samenwoning zal er een nieuw contract ontstaan dat niet identiek is aan het vorige en zal er bijgevolg geen gebruik worden gemaakt van de vereenvoudigde procedure, die geldt voor de verlenging en vernieuwing van het huwelijk en de wettelijke samenwoning (</w:t>
      </w:r>
      <w:r w:rsidRPr="00960105">
        <w:rPr>
          <w:i/>
          <w:iCs/>
        </w:rPr>
        <w:t>supra</w:t>
      </w:r>
      <w:r w:rsidRPr="00960105">
        <w:t xml:space="preserve"> randnummer 10</w:t>
      </w:r>
      <w:r>
        <w:t>7). Dit aangezien de rol van de notaris als informatieverstrekker bij hernieuwing cruciaal is.</w:t>
      </w:r>
      <w:r>
        <w:rPr>
          <w:rStyle w:val="Voetnootmarkering"/>
        </w:rPr>
        <w:footnoteReference w:id="176"/>
      </w:r>
      <w:r>
        <w:t xml:space="preserve"> De hernieuwing zal dan ook bij notariële akte worden vastgesteld, teneinde de informatieplicht van de notaris te waarborgen.</w:t>
      </w:r>
      <w:r>
        <w:rPr>
          <w:rStyle w:val="Voetnootmarkering"/>
        </w:rPr>
        <w:footnoteReference w:id="177"/>
      </w:r>
    </w:p>
    <w:p w14:paraId="3162ABA3" w14:textId="77777777" w:rsidR="00BD18A3" w:rsidRDefault="00BD18A3" w:rsidP="00BD18A3">
      <w:pPr>
        <w:pStyle w:val="Lijstalinea"/>
      </w:pPr>
    </w:p>
    <w:p w14:paraId="315F4B28" w14:textId="77777777" w:rsidR="00BD18A3" w:rsidRDefault="00BD18A3" w:rsidP="00BD18A3">
      <w:pPr>
        <w:pStyle w:val="Lijstalinea"/>
        <w:numPr>
          <w:ilvl w:val="0"/>
          <w:numId w:val="26"/>
        </w:numPr>
        <w:ind w:left="0" w:firstLine="0"/>
      </w:pPr>
      <w:r>
        <w:t>Zoals eerder beschreven zal de authentieke akte van wijziging van de huwelijks- of samenlevingsovereenkomst vervolgens worden overhandigd aan de ambtenaar van de burgerlijke stand, zodat deze op rechtsgeldige wijze het huwelijk en de wettelijke samenwoning kan hernieuwen. Deze keer voltrekt de hernieuwing zich voor een duur die onbepaald is, aangezien er in deze hypothese geen uitdovende tijdsbepaling wordt bedongen.</w:t>
      </w:r>
      <w:r w:rsidRPr="00685F5C">
        <w:t xml:space="preserve"> </w:t>
      </w:r>
      <w:r>
        <w:t>De hernieuwing voltrekt zich door de akte van wijziging van het huwelijk op te nemen in de Databank van Akten van de Burgerlijke Stand.</w:t>
      </w:r>
      <w:r>
        <w:rPr>
          <w:rStyle w:val="Voetnootmarkering"/>
        </w:rPr>
        <w:footnoteReference w:id="178"/>
      </w:r>
      <w:r>
        <w:t xml:space="preserve"> Van de akte van wijziging van de wettelijke samenwoning zal er melding worden gemaakt in het bevolkingsregister.</w:t>
      </w:r>
      <w:r>
        <w:rPr>
          <w:rStyle w:val="Voetnootmarkering"/>
        </w:rPr>
        <w:footnoteReference w:id="179"/>
      </w:r>
    </w:p>
    <w:p w14:paraId="2FD30730" w14:textId="77777777" w:rsidR="00BD18A3" w:rsidRDefault="00BD18A3" w:rsidP="00BD18A3">
      <w:pPr>
        <w:pStyle w:val="Lijstalinea"/>
      </w:pPr>
    </w:p>
    <w:p w14:paraId="4DC7851E" w14:textId="77777777" w:rsidR="00BD18A3" w:rsidRDefault="00BD18A3" w:rsidP="00BD18A3">
      <w:pPr>
        <w:pStyle w:val="Lijstalinea"/>
        <w:numPr>
          <w:ilvl w:val="0"/>
          <w:numId w:val="26"/>
        </w:numPr>
        <w:ind w:left="0" w:firstLine="0"/>
      </w:pPr>
      <w:r>
        <w:t>Wanneer echtgenoten of wettelijk samenwonenden bij hernieuwing nalaten een uitdovende tijdsbepaling te bedingen, bij de wijziging van hun huwelijks- of samenlevingsovereenkomst, zal de hernieuwing van het huwelijk of de wettelijke samenwoning worden voltrokken voor onbepaalde duur.</w:t>
      </w:r>
      <w:r>
        <w:rPr>
          <w:rStyle w:val="Voetnootmarkering"/>
        </w:rPr>
        <w:footnoteReference w:id="180"/>
      </w:r>
      <w:r>
        <w:t xml:space="preserve"> In dit scenario stappen echtgenoten en wettelijk samenwonenden over van het regime van het huwelijk en de wettelijke samenwoning van bepaalde duur naar het huwelijk en de wettelijke samenwoning van onbepaalde duur, naar het hedendaags positiefrechtelijk regime. Op deze wijze kunnen echtgenoten of wettelijke samenwonenden die aanvankelijk kozen voor de bepaalde duur, alsnog in het huwelijks(- of samenwonings)bootje van onbepaalde duur stappen.</w:t>
      </w:r>
    </w:p>
    <w:p w14:paraId="7A4AB114" w14:textId="77777777" w:rsidR="00BD18A3" w:rsidRDefault="00BD18A3" w:rsidP="00BD18A3">
      <w:pPr>
        <w:pStyle w:val="Kop2"/>
      </w:pPr>
      <w:bookmarkStart w:id="65" w:name="_Toc167990486"/>
      <w:r>
        <w:lastRenderedPageBreak/>
        <w:t>Hoofdstuk 9. Opeenvolgende relatievormen van bepaalde duur</w:t>
      </w:r>
      <w:bookmarkEnd w:id="65"/>
    </w:p>
    <w:p w14:paraId="1E783CA9" w14:textId="77777777" w:rsidR="00BD18A3" w:rsidRDefault="00BD18A3" w:rsidP="00BD18A3">
      <w:pPr>
        <w:pStyle w:val="Lijstalinea"/>
        <w:numPr>
          <w:ilvl w:val="0"/>
          <w:numId w:val="26"/>
        </w:numPr>
        <w:ind w:left="0" w:firstLine="0"/>
      </w:pPr>
      <w:r>
        <w:t xml:space="preserve">Binnen het arbeidsrecht bestaat de systematiek dat </w:t>
      </w:r>
      <w:r w:rsidRPr="00BF770C">
        <w:t>verscheidene opeenvolgende arbeidsovereenkomsten v</w:t>
      </w:r>
      <w:r>
        <w:t>an</w:t>
      </w:r>
      <w:r w:rsidRPr="00BF770C">
        <w:t xml:space="preserve"> bepaalde </w:t>
      </w:r>
      <w:r>
        <w:t xml:space="preserve">duur, </w:t>
      </w:r>
      <w:r w:rsidRPr="00BF770C">
        <w:t xml:space="preserve">worden verondersteld </w:t>
      </w:r>
      <w:r>
        <w:t xml:space="preserve">te zijn aangegaan als </w:t>
      </w:r>
      <w:r w:rsidRPr="00BF770C">
        <w:t>een arbeidsovereenkomst v</w:t>
      </w:r>
      <w:r>
        <w:t xml:space="preserve">an onbepaalde duur. Concreet kunnen werkgever en werknemer maximum vier opeenvolgende </w:t>
      </w:r>
      <w:r w:rsidRPr="007A2589">
        <w:t xml:space="preserve">arbeidsovereenkomsten </w:t>
      </w:r>
      <w:r>
        <w:t>van bepaalde duur</w:t>
      </w:r>
      <w:r w:rsidRPr="007A2589">
        <w:t xml:space="preserve"> sluiten</w:t>
      </w:r>
      <w:r>
        <w:t xml:space="preserve">. Dit </w:t>
      </w:r>
      <w:r w:rsidRPr="007A2589">
        <w:t>voor zover de duur van elk van deze overeenkomsten niet minder dan drie maanden bedraagt en de totale duur van deze overeenkomsten twee jaar niet overschrijdt.</w:t>
      </w:r>
      <w:r>
        <w:t xml:space="preserve"> Wanneer deze duur w</w:t>
      </w:r>
      <w:r w:rsidRPr="007A2589">
        <w:t>ordt</w:t>
      </w:r>
      <w:r>
        <w:t xml:space="preserve"> o</w:t>
      </w:r>
      <w:r w:rsidRPr="007A2589">
        <w:t>verschreden,</w:t>
      </w:r>
      <w:r>
        <w:t xml:space="preserve"> wordt de desbetreffende overeenkomst geacht voor </w:t>
      </w:r>
      <w:r w:rsidRPr="007A2589">
        <w:t xml:space="preserve">onbepaalde </w:t>
      </w:r>
      <w:r>
        <w:t>duur te zijn aangegaan en gelden bijgevolg dezelfde voorwaarden als voor de overeenkomst van onbepaalde duur.</w:t>
      </w:r>
      <w:r>
        <w:rPr>
          <w:rStyle w:val="Voetnootmarkering"/>
        </w:rPr>
        <w:footnoteReference w:id="181"/>
      </w:r>
    </w:p>
    <w:p w14:paraId="05BBE48F" w14:textId="77777777" w:rsidR="00BD18A3" w:rsidRDefault="00BD18A3" w:rsidP="00BD18A3">
      <w:pPr>
        <w:pStyle w:val="Lijstalinea"/>
      </w:pPr>
    </w:p>
    <w:p w14:paraId="143BE82A" w14:textId="77777777" w:rsidR="00BD18A3" w:rsidRDefault="00BD18A3" w:rsidP="00BD18A3">
      <w:pPr>
        <w:pStyle w:val="Lijstalinea"/>
        <w:numPr>
          <w:ilvl w:val="0"/>
          <w:numId w:val="26"/>
        </w:numPr>
        <w:ind w:left="0" w:firstLine="0"/>
      </w:pPr>
      <w:r>
        <w:t>Een bestuiving van het familierecht door het arbeidsrecht zou voor het huwelijk en de wettelijke samenwoning van bepaalde duur gunstig kunnen zijn. Overeenkomstig het arbeidsrecht zou er voor de relatievormen van bepaalde duur een regeling kunnen worden ontwikkeld voor opeenvolgende huwelijken of wettelijke samenwoningen van bepaalde duur. Hierbij worden naar analogie met het arbeidsrecht verscheidene opeenvolgende huwelijken of wettelijke samenwoningen van bepaalde duur, geacht te zijn aangegaan voor onbepaalde duur. Concreet zou de wetgever van oordeel kunnen zijn dat bijvoorbeeld het overschrijden van twee relatievormen van bepaalde duur niet wenselijk is. Dit zou dan inhouden dat vanaf het aangaan van een derde huwelijk of wettelijke samenwoning van bepaalde duur, dit van rechtswege wordt omgezet naar een relatievorm van onbepaalde duur. Dit aangezien het huwelijk of de wettelijke samenwoning in dat geval geacht wordt te zijn aangegaan voor onbepaalde duur. De concrete invulling van wat het maximale aantal opeenvolgende relatievormen van bepaalde duur dat toegelaten is, dient nader te worden bestudeerd.</w:t>
      </w:r>
    </w:p>
    <w:p w14:paraId="59465F29" w14:textId="77777777" w:rsidR="00BD18A3" w:rsidRDefault="00BD18A3" w:rsidP="00BD18A3">
      <w:pPr>
        <w:pStyle w:val="Lijstalinea"/>
      </w:pPr>
    </w:p>
    <w:p w14:paraId="7BBD81CE" w14:textId="77777777" w:rsidR="00BD18A3" w:rsidRPr="00BF770C" w:rsidRDefault="00BD18A3" w:rsidP="00BD18A3">
      <w:pPr>
        <w:pStyle w:val="Lijstalinea"/>
        <w:numPr>
          <w:ilvl w:val="0"/>
          <w:numId w:val="26"/>
        </w:numPr>
        <w:ind w:left="0" w:firstLine="0"/>
      </w:pPr>
      <w:r>
        <w:t xml:space="preserve">De </w:t>
      </w:r>
      <w:r>
        <w:rPr>
          <w:i/>
          <w:iCs/>
        </w:rPr>
        <w:t>ratio legis</w:t>
      </w:r>
      <w:r>
        <w:t xml:space="preserve"> hierachter is gesitueerd in de bescherming van de partner die in de onzekerheid verkeerd of de relatievorm al dan niet zal worden verlengd, vernieuwd of hernieuwd. Teneinde deze partner niet in oneindige onzekerheid te laten verkeren, kan de beperking op het aantal opeenvolgende relatievormen van bepaalde duur hiervoor een oplossing zijn. Bij het invoeren van een beperking op het aantal opeenvolgende relatievormen van bepaalde duur fungeert het huwelijk en de wettelijke samenwoning van bepaalde duur dan eerder als proefperiode voor het huwelijk en de wettelijke samenwoning, zoals het vandaag gekend is. Op deze wijze kunnen echtgenoten en wettelijk samenwonenden voor bepaalde duur het huwelijk of de wettelijke samenwoning ervaren, alvorens de relatievorm voor onbepaalde duur aan te gaan.</w:t>
      </w:r>
    </w:p>
    <w:p w14:paraId="3029BAD7" w14:textId="77777777" w:rsidR="00BD18A3" w:rsidRDefault="00BD18A3" w:rsidP="00BD18A3">
      <w:pPr>
        <w:pStyle w:val="Kop2"/>
      </w:pPr>
      <w:bookmarkStart w:id="66" w:name="_Toc167990487"/>
      <w:r>
        <w:lastRenderedPageBreak/>
        <w:t>Hoofdstuk 10. Beëindiging</w:t>
      </w:r>
      <w:bookmarkEnd w:id="66"/>
    </w:p>
    <w:p w14:paraId="4BF19F73" w14:textId="77777777" w:rsidR="00BD18A3" w:rsidRPr="009F1484" w:rsidRDefault="00BD18A3" w:rsidP="00BD18A3">
      <w:pPr>
        <w:pStyle w:val="Kop3"/>
        <w:numPr>
          <w:ilvl w:val="0"/>
          <w:numId w:val="12"/>
        </w:numPr>
      </w:pPr>
      <w:bookmarkStart w:id="67" w:name="_Toc167990488"/>
      <w:r>
        <w:t>Voortijdige beëindiging</w:t>
      </w:r>
      <w:bookmarkEnd w:id="67"/>
    </w:p>
    <w:p w14:paraId="0F7ED459" w14:textId="77777777" w:rsidR="00BD18A3" w:rsidRDefault="00BD18A3" w:rsidP="00BD18A3">
      <w:pPr>
        <w:pStyle w:val="Lijstalinea"/>
        <w:numPr>
          <w:ilvl w:val="0"/>
          <w:numId w:val="26"/>
        </w:numPr>
        <w:ind w:left="0" w:firstLine="0"/>
      </w:pPr>
      <w:r>
        <w:t>Zoals eerder aangehaald wordt het huwelijk en de wettelijke samenwoning van bepaalde duur verbintenisrechtelijk gekwalificeerd als een contract van bepaalde duur (</w:t>
      </w:r>
      <w:r w:rsidRPr="000E67B5">
        <w:rPr>
          <w:i/>
        </w:rPr>
        <w:t>supra</w:t>
      </w:r>
      <w:r w:rsidRPr="000E67B5">
        <w:t xml:space="preserve"> randnummer</w:t>
      </w:r>
      <w:r>
        <w:t xml:space="preserve"> 44). Het Burgerlijk Wetboek stelt dat een contract van bepaalde duur niet kan worden opgezegd, behoudens de uitzonderingen die de wet, het contract of de gebruiken opleggen.</w:t>
      </w:r>
      <w:r>
        <w:rPr>
          <w:rStyle w:val="Voetnootmarkering"/>
        </w:rPr>
        <w:footnoteReference w:id="182"/>
      </w:r>
      <w:r>
        <w:t xml:space="preserve"> Om het huwelijk en de wettelijke samenwoning van bepaalde duur te beëindigen gedurende het huwelijk of de wettelijke samenwoning, is het dus noodzakelijk dat de wet voorziet in een uitzondering. Dit, zodat het contract van bepaalde duur, </w:t>
      </w:r>
      <w:r w:rsidRPr="00FB4828">
        <w:rPr>
          <w:i/>
        </w:rPr>
        <w:t>ergo</w:t>
      </w:r>
      <w:r>
        <w:t xml:space="preserve"> het huwelijk en de wettelijke samenwoning van bepaalde uur, kan worden opgezegd. Op deze wijze zal het mogelijk zijn voor echtgenoten of wettelijk samenwonenden van bepaalde duur om, voor het verstrijken van de tijdsbepaling, hun huwelijk of wettelijke samenwoning te beëindigen. De wetgever kan voorzien in dergelijke uitzondering door de mogelijkheden tot ontbinding van het huwelijk en beëindiging van de wettelijke samenwoning ook toe te passen op het huwelijk en de wettelijke samenwoning van bepaalde duur. Hierdoor zijn de beëindigingswijzen gedurende het huwelijk of wettelijke samenwoning onveranderd, ongeacht of het huwelijk of de wettelijke samenwoning is aangegaan voor bepaalde of onbepaalde duur. De ontbinding van het huwelijk en beëindiging van de wettelijke samenwoning blijven onverkort mogelijk, ook voor het huwelijk en de wettelijke samenwoning van bepaalde duur.</w:t>
      </w:r>
    </w:p>
    <w:p w14:paraId="0FA51E72" w14:textId="77777777" w:rsidR="00BD18A3" w:rsidRDefault="00BD18A3" w:rsidP="00BD18A3">
      <w:pPr>
        <w:pStyle w:val="Lijstalinea"/>
      </w:pPr>
    </w:p>
    <w:p w14:paraId="4C8DB329" w14:textId="77777777" w:rsidR="00BD18A3" w:rsidRDefault="00BD18A3" w:rsidP="00BD18A3">
      <w:pPr>
        <w:pStyle w:val="Lijstalinea"/>
        <w:numPr>
          <w:ilvl w:val="0"/>
          <w:numId w:val="26"/>
        </w:numPr>
        <w:ind w:left="0" w:firstLine="0"/>
      </w:pPr>
      <w:r>
        <w:t>Het positiefrechtelijk kader vandaag biedt de mogelijkheid aan echtgenoten om hun huwelijk te ontbinden.</w:t>
      </w:r>
      <w:r>
        <w:rPr>
          <w:rStyle w:val="Voetnootmarkering"/>
        </w:rPr>
        <w:footnoteReference w:id="183"/>
      </w:r>
      <w:r>
        <w:t xml:space="preserve"> De ontbinding van het huwelijk zal ook voor het huwelijk van bepaalde duur mogelijk zijn. Het is dus in geen geval zo dat echtgenoten die gehuwd zijn voor bepaalde duur, moeten wachten tot hun uitdovende tijdsbepaling uitwerking krijgt, opdat hun huwelijk ontbonden wordt. Het huwelijk van bepaalde duur kan dus, net zoals het huwelijk van onbepaalde duur, worden ontbonden door echtscheiding op grond van onherstelbare ontwrichting of op grond van onderlinge toestemming.</w:t>
      </w:r>
      <w:r>
        <w:rPr>
          <w:rStyle w:val="Voetnootmarkering"/>
        </w:rPr>
        <w:footnoteReference w:id="184"/>
      </w:r>
      <w:r>
        <w:t xml:space="preserve"> </w:t>
      </w:r>
    </w:p>
    <w:p w14:paraId="731F0B20" w14:textId="77777777" w:rsidR="00BD18A3" w:rsidRDefault="00BD18A3" w:rsidP="00BD18A3">
      <w:pPr>
        <w:pStyle w:val="Lijstalinea"/>
      </w:pPr>
    </w:p>
    <w:p w14:paraId="08FAC5A9" w14:textId="77777777" w:rsidR="00BD18A3" w:rsidRDefault="00BD18A3" w:rsidP="00BD18A3">
      <w:pPr>
        <w:pStyle w:val="Lijstalinea"/>
      </w:pPr>
      <w:r>
        <w:t xml:space="preserve">In het eerste geval zal de echtscheiding worden uitgesproken wanneer de rechter vaststelt dat het huwelijk van bepaalde duur onherstelbaar ontwricht is. </w:t>
      </w:r>
      <w:r w:rsidRPr="00705A52">
        <w:t>Het huwelijk</w:t>
      </w:r>
      <w:r>
        <w:t xml:space="preserve"> van bepaalde duur</w:t>
      </w:r>
      <w:r w:rsidRPr="00705A52">
        <w:t xml:space="preserve"> is onherstelbaar ontwricht wanneer de voortzetting van het samenleven tussen de echtgenoten en de hervatting ervan redelijkerwijs onmogelijk is geworden ingevolge die ontwrichting</w:t>
      </w:r>
      <w:r>
        <w:t>.</w:t>
      </w:r>
      <w:r>
        <w:rPr>
          <w:rStyle w:val="Voetnootmarkering"/>
        </w:rPr>
        <w:footnoteReference w:id="185"/>
      </w:r>
      <w:r>
        <w:t xml:space="preserve"> </w:t>
      </w:r>
    </w:p>
    <w:p w14:paraId="177DA1C3" w14:textId="77777777" w:rsidR="00BD18A3" w:rsidRDefault="00BD18A3" w:rsidP="00BD18A3">
      <w:pPr>
        <w:pStyle w:val="Lijstalinea"/>
      </w:pPr>
    </w:p>
    <w:p w14:paraId="49B3869D" w14:textId="77777777" w:rsidR="00BD18A3" w:rsidRDefault="00BD18A3" w:rsidP="00BD18A3">
      <w:pPr>
        <w:pStyle w:val="Lijstalinea"/>
      </w:pPr>
      <w:r>
        <w:t xml:space="preserve">Het huwelijk van bepaalde duur kan tevens worden ontbonden door echtscheiding op grond van onderlinge </w:t>
      </w:r>
      <w:r w:rsidRPr="00C55647">
        <w:t>toestemming.</w:t>
      </w:r>
      <w:r w:rsidRPr="00C55647">
        <w:rPr>
          <w:rStyle w:val="Voetnootmarkering"/>
        </w:rPr>
        <w:footnoteReference w:id="186"/>
      </w:r>
      <w:r w:rsidRPr="00C55647">
        <w:t xml:space="preserve"> In dit geval maken de (ex)-echtgenoten een allesomvattend akkoord, waar ze het onderling eens zijn over alle gevolgen van de ontbinding van hun huwelijk.</w:t>
      </w:r>
      <w:r w:rsidRPr="00C55647">
        <w:rPr>
          <w:rStyle w:val="Voetnootmarkering"/>
        </w:rPr>
        <w:footnoteReference w:id="187"/>
      </w:r>
    </w:p>
    <w:p w14:paraId="07400789" w14:textId="77777777" w:rsidR="00BD18A3" w:rsidRDefault="00BD18A3" w:rsidP="00BD18A3">
      <w:pPr>
        <w:pStyle w:val="Lijstalinea"/>
      </w:pPr>
    </w:p>
    <w:p w14:paraId="3E6DC5B9" w14:textId="77777777" w:rsidR="00BD18A3" w:rsidRDefault="00BD18A3" w:rsidP="00BD18A3">
      <w:pPr>
        <w:pStyle w:val="Lijstalinea"/>
        <w:numPr>
          <w:ilvl w:val="0"/>
          <w:numId w:val="26"/>
        </w:numPr>
        <w:ind w:left="0" w:firstLine="0"/>
      </w:pPr>
      <w:r>
        <w:t>Er valt hierbij op te merken dat het huwelijk van bepaalde duur zowel voortijdig, met tussenkomst van de rechter, gedurende het huwelijk (</w:t>
      </w:r>
      <w:r>
        <w:rPr>
          <w:i/>
          <w:iCs/>
        </w:rPr>
        <w:t>supra</w:t>
      </w:r>
      <w:r>
        <w:t xml:space="preserve"> randnummer </w:t>
      </w:r>
      <w:r w:rsidRPr="00821C19">
        <w:t>1</w:t>
      </w:r>
      <w:r>
        <w:t xml:space="preserve">32), als </w:t>
      </w:r>
      <w:r w:rsidRPr="00D42275">
        <w:t>zonder tussenkomst</w:t>
      </w:r>
      <w:r>
        <w:t xml:space="preserve"> van de rechter, door de uitwerking van de uitdovende </w:t>
      </w:r>
      <w:r w:rsidRPr="00D42275">
        <w:t xml:space="preserve">tijdsbepaling </w:t>
      </w:r>
      <w:r w:rsidRPr="000E67B5">
        <w:t>(</w:t>
      </w:r>
      <w:r w:rsidRPr="000E67B5">
        <w:rPr>
          <w:i/>
          <w:iCs/>
        </w:rPr>
        <w:t>infra</w:t>
      </w:r>
      <w:r w:rsidRPr="000E67B5">
        <w:t xml:space="preserve"> randnummer 137), kan</w:t>
      </w:r>
      <w:r>
        <w:t xml:space="preserve"> worden ontbonden.</w:t>
      </w:r>
    </w:p>
    <w:p w14:paraId="14471178" w14:textId="77777777" w:rsidR="00BD18A3" w:rsidRDefault="00BD18A3" w:rsidP="00BD18A3">
      <w:pPr>
        <w:pStyle w:val="Lijstalinea"/>
      </w:pPr>
    </w:p>
    <w:p w14:paraId="0575D21C" w14:textId="77777777" w:rsidR="00BD18A3" w:rsidRDefault="00BD18A3" w:rsidP="00BD18A3">
      <w:pPr>
        <w:pStyle w:val="Lijstalinea"/>
        <w:numPr>
          <w:ilvl w:val="0"/>
          <w:numId w:val="26"/>
        </w:numPr>
        <w:ind w:left="0" w:firstLine="0"/>
      </w:pPr>
      <w:r>
        <w:t>Wettelijke samenwoners kunnen hetzij in onderlinge overeenstemming, hetzij éénzijdig hun wettelijke samenwoning beëindigen. Zij doen dit door middel van een schriftelijke verklaring te overhandigen aan de ambtenaar van de burgerlijke stand.</w:t>
      </w:r>
      <w:r>
        <w:rPr>
          <w:rStyle w:val="Voetnootmarkering"/>
        </w:rPr>
        <w:footnoteReference w:id="188"/>
      </w:r>
      <w:r>
        <w:t xml:space="preserve"> De mogelijkheid om de wettelijke samenwoning te beëindigen, hetzij éénzijdig, hetzij in onderlinge overeenstemming, geldt onverkort voor wettelijke samenwoners van bepaalde duur. Wettelijke samenwoners van bepaalde duur hoeven dus niet te wachten tot de uitdovende tijdsbepaling uitwerking krijgt, opdat hun wettelijke samenwoning eindigt, maar kunnen de wettelijke samenwoning ook actief beëindigen.</w:t>
      </w:r>
    </w:p>
    <w:p w14:paraId="140A216A" w14:textId="77777777" w:rsidR="00BD18A3" w:rsidRDefault="00BD18A3" w:rsidP="00BD18A3">
      <w:pPr>
        <w:pStyle w:val="Lijstalinea"/>
      </w:pPr>
    </w:p>
    <w:p w14:paraId="63B09D8C" w14:textId="77777777" w:rsidR="00BD18A3" w:rsidRDefault="00BD18A3" w:rsidP="00BD18A3">
      <w:pPr>
        <w:pStyle w:val="Lijstalinea"/>
        <w:numPr>
          <w:ilvl w:val="0"/>
          <w:numId w:val="26"/>
        </w:numPr>
        <w:ind w:left="0" w:firstLine="0"/>
      </w:pPr>
      <w:r>
        <w:t>Voorts zal het huwelijk van bepaalde duur, net zoals het huwelijk van onbepaalde duur, worden ontbonden door de dood van één van de echtgenoten.</w:t>
      </w:r>
      <w:r>
        <w:rPr>
          <w:rStyle w:val="Voetnootmarkering"/>
        </w:rPr>
        <w:footnoteReference w:id="189"/>
      </w:r>
      <w:r>
        <w:t xml:space="preserve"> Naar analogie aan het huwelijk zal ook de wettelijke samenwoning van bepaalde duur worden beëindigd wanneer één van de wettelijk samenwonenden overlijdt.</w:t>
      </w:r>
      <w:r>
        <w:rPr>
          <w:rStyle w:val="Voetnootmarkering"/>
        </w:rPr>
        <w:footnoteReference w:id="190"/>
      </w:r>
      <w:r>
        <w:t xml:space="preserve"> De wettelijke samenwoning wordt ook beëindigd wanneer de wettelijk samenwonenden met elkaar in het huwelijk treden.</w:t>
      </w:r>
      <w:r>
        <w:rPr>
          <w:rStyle w:val="Voetnootmarkering"/>
        </w:rPr>
        <w:footnoteReference w:id="191"/>
      </w:r>
    </w:p>
    <w:p w14:paraId="0998ECFD" w14:textId="77777777" w:rsidR="00BD18A3" w:rsidRDefault="00BD18A3" w:rsidP="00BD18A3">
      <w:pPr>
        <w:pStyle w:val="Kop3"/>
        <w:numPr>
          <w:ilvl w:val="0"/>
          <w:numId w:val="12"/>
        </w:numPr>
      </w:pPr>
      <w:bookmarkStart w:id="68" w:name="_Toc167990489"/>
      <w:r>
        <w:rPr>
          <w:lang w:val="nl-NL"/>
        </w:rPr>
        <w:t>Bij verstrijken tijdsbepaling</w:t>
      </w:r>
      <w:bookmarkEnd w:id="68"/>
    </w:p>
    <w:p w14:paraId="4AC85351" w14:textId="77777777" w:rsidR="00BD18A3" w:rsidRDefault="00BD18A3" w:rsidP="00BD18A3">
      <w:pPr>
        <w:pStyle w:val="Lijstalinea"/>
        <w:numPr>
          <w:ilvl w:val="0"/>
          <w:numId w:val="26"/>
        </w:numPr>
        <w:ind w:left="0" w:firstLine="0"/>
      </w:pPr>
      <w:r>
        <w:t xml:space="preserve">Wanneer de bedongen tijdsbepaling van het huwelijk of de wettelijke samenwoning verstrijkt, zal het huwelijk en de wettelijke samenwoning van bepaalde duur definitief eindigen, omwille van de uitdovende tijdsbepaling die uitwerking krijgt. Dit op voorwaarde dat de partners niet opteerden om hun huwelijk of wettelijke samenwoning te </w:t>
      </w:r>
      <w:r w:rsidRPr="00485F50">
        <w:t>vernieuwen</w:t>
      </w:r>
      <w:r>
        <w:t xml:space="preserve">, </w:t>
      </w:r>
      <w:r w:rsidRPr="00485F50">
        <w:t>verlengen</w:t>
      </w:r>
      <w:r>
        <w:t xml:space="preserve"> of hernieuwen</w:t>
      </w:r>
      <w:r w:rsidRPr="00485F50">
        <w:t xml:space="preserve"> én </w:t>
      </w:r>
      <w:r>
        <w:t xml:space="preserve">op voorwaarde dat </w:t>
      </w:r>
      <w:r w:rsidRPr="00485F50">
        <w:t>de</w:t>
      </w:r>
      <w:r>
        <w:t xml:space="preserve"> stilzwijgende vernieuwing is uitgesloten. </w:t>
      </w:r>
      <w:r>
        <w:lastRenderedPageBreak/>
        <w:t>Deze vorm van ontbinding van het huwelijk of de beëindiging van de wettelijke samenwoning zal zich in dat geval van rechtswege voltrekken. Dit aangezien de uitdovende tijdsbepaling van het huwelijk en de wettelijke samenwoning van bepaalde duur, door de bindende kracht van de overeenkomst, een autonome werking heeft.</w:t>
      </w:r>
      <w:r>
        <w:rPr>
          <w:rStyle w:val="Voetnootmarkering"/>
        </w:rPr>
        <w:footnoteReference w:id="192"/>
      </w:r>
      <w:r>
        <w:t xml:space="preserve"> De wetgever erkent namelijk expliciet de uitdovende tijdsbepaling als grond van tenietgaan van een verbintenis.</w:t>
      </w:r>
      <w:r>
        <w:rPr>
          <w:rStyle w:val="Voetnootmarkering"/>
        </w:rPr>
        <w:footnoteReference w:id="193"/>
      </w:r>
    </w:p>
    <w:p w14:paraId="0231271E" w14:textId="77777777" w:rsidR="00BD18A3" w:rsidRDefault="00BD18A3" w:rsidP="00BD18A3">
      <w:pPr>
        <w:pStyle w:val="Kop2"/>
      </w:pPr>
      <w:bookmarkStart w:id="69" w:name="_Toc167990490"/>
      <w:r>
        <w:t>Hoofdstuk 11. Wachttermijnen</w:t>
      </w:r>
      <w:bookmarkEnd w:id="69"/>
    </w:p>
    <w:p w14:paraId="32B65176" w14:textId="77777777" w:rsidR="00BD18A3" w:rsidRDefault="00BD18A3" w:rsidP="00BD18A3">
      <w:pPr>
        <w:pStyle w:val="Lijstalinea"/>
        <w:numPr>
          <w:ilvl w:val="0"/>
          <w:numId w:val="26"/>
        </w:numPr>
        <w:ind w:left="0" w:firstLine="0"/>
      </w:pPr>
      <w:r>
        <w:t xml:space="preserve">Om de gevolgen van een abrupt einde door voortijdige ontbinding of door uitwerking van de uitdovende tijdsbepaling van het huwelijk van bepaalde duur in te dijken, wordt er beroep gedaan op wachttermijnen. Dergelijke wachttermijnen bestaan reeds voor het huwelijk van onbepaalde duur, het huwelijk </w:t>
      </w:r>
      <w:r w:rsidRPr="007237E0">
        <w:rPr>
          <w:i/>
          <w:iCs/>
        </w:rPr>
        <w:t>de lege lata</w:t>
      </w:r>
      <w:r>
        <w:t>. De wetgever oordeelde namelijk dat de huwelijkse stabiliteit en solidariteit toch engzins beschermd diende te worden. De finaliteit hiervan is tweeledig. Enerzijds dient deze minimale termijn als soort van reflectietermijn. Het stelt de echtgenoten of de verzoekende echtgenoot in staat zich te beraden of het huwelijk daadwerkelijk onwricht is. Anderzijds geldt deze periode als opzeggingstermijn. Het laat de echtgenoten toe om de beslissing tot echtscheiding psychologisch te verwerken en zich praktisch te organiseren.</w:t>
      </w:r>
      <w:r>
        <w:rPr>
          <w:rStyle w:val="Voetnootmarkering"/>
        </w:rPr>
        <w:footnoteReference w:id="194"/>
      </w:r>
    </w:p>
    <w:p w14:paraId="175FF21D" w14:textId="77777777" w:rsidR="00BD18A3" w:rsidRDefault="00BD18A3" w:rsidP="00BD18A3">
      <w:pPr>
        <w:pStyle w:val="Lijstalinea"/>
      </w:pPr>
    </w:p>
    <w:p w14:paraId="56D80FA3" w14:textId="77777777" w:rsidR="00BD18A3" w:rsidRDefault="00BD18A3" w:rsidP="00BD18A3">
      <w:pPr>
        <w:pStyle w:val="Lijstalinea"/>
        <w:numPr>
          <w:ilvl w:val="0"/>
          <w:numId w:val="26"/>
        </w:numPr>
        <w:ind w:left="0" w:firstLine="0"/>
      </w:pPr>
      <w:r>
        <w:t xml:space="preserve">De wachttermijnen </w:t>
      </w:r>
      <w:r w:rsidRPr="00FF422F">
        <w:rPr>
          <w:i/>
          <w:iCs/>
        </w:rPr>
        <w:t xml:space="preserve">de lege lata </w:t>
      </w:r>
      <w:r>
        <w:t xml:space="preserve"> houden in dat echtgenoten bij een gezamenlijk of aanvaard verzoek tot echtscheiding op grond van onherstelbare ontwrichting meer dan zes maanden feitelijk gescheiden moeten leven.</w:t>
      </w:r>
      <w:r>
        <w:rPr>
          <w:rStyle w:val="Voetnootmarkering"/>
        </w:rPr>
        <w:footnoteReference w:id="195"/>
      </w:r>
      <w:r>
        <w:t xml:space="preserve"> Wanneer de vordering tot echtscheiding uitgaat van één van de echtgenoten en de andere echtgenoot verklaart zich hiermee niet akkoord, is een wachttermijn van één jaar feitelijke scheiding vereist.</w:t>
      </w:r>
      <w:r>
        <w:rPr>
          <w:rStyle w:val="Voetnootmarkering"/>
        </w:rPr>
        <w:footnoteReference w:id="196"/>
      </w:r>
      <w:r>
        <w:t xml:space="preserve"> Een wachttermijn van drie maanden zonder feitelijke scheiding is tevens mogelijk. Dit wanneer echtgenoten een gezamenlijk of aanvaard herhaald verzoek doen met een reflectieperiode van drie maanden tussen.</w:t>
      </w:r>
      <w:r>
        <w:rPr>
          <w:rStyle w:val="Voetnootmarkering"/>
        </w:rPr>
        <w:footnoteReference w:id="197"/>
      </w:r>
      <w:r>
        <w:t xml:space="preserve"> Deze wachttermijnen zoals ze vandaag de dag bestaan voor het huwelijk van onbepaalde duur, zullen worden overgenomen voor het huwelijk van bepaalde duur.</w:t>
      </w:r>
    </w:p>
    <w:p w14:paraId="39DCB688" w14:textId="77777777" w:rsidR="00BD18A3" w:rsidRDefault="00BD18A3" w:rsidP="00BD18A3">
      <w:pPr>
        <w:pStyle w:val="Lijstalinea"/>
      </w:pPr>
    </w:p>
    <w:p w14:paraId="635362D6" w14:textId="77777777" w:rsidR="00BD18A3" w:rsidRDefault="00BD18A3" w:rsidP="00BD18A3">
      <w:pPr>
        <w:pStyle w:val="Lijstalinea"/>
        <w:numPr>
          <w:ilvl w:val="0"/>
          <w:numId w:val="26"/>
        </w:numPr>
        <w:ind w:left="0" w:firstLine="0"/>
      </w:pPr>
      <w:r>
        <w:t xml:space="preserve">Het is evident dat de wachttermijnen bij een voortijdige ontbinding van het huwelijk van bepaalde </w:t>
      </w:r>
      <w:r w:rsidRPr="000E67B5">
        <w:t>duur (</w:t>
      </w:r>
      <w:r w:rsidRPr="000E67B5">
        <w:rPr>
          <w:i/>
          <w:iCs/>
        </w:rPr>
        <w:t xml:space="preserve">supra </w:t>
      </w:r>
      <w:r w:rsidRPr="000E67B5">
        <w:t>randnummer 132 e.v.) integraal</w:t>
      </w:r>
      <w:r>
        <w:t xml:space="preserve"> worden overgenomen. De voortijdige ontbinding van het huwelijk van bepaalde duur loopt immers volledig gelijk met </w:t>
      </w:r>
      <w:r>
        <w:lastRenderedPageBreak/>
        <w:t>de ontbinding van het huwelijk van onbepaalde duur. Het kopiëren van deze systematiek is dan ook wiedens.</w:t>
      </w:r>
    </w:p>
    <w:p w14:paraId="11038702" w14:textId="77777777" w:rsidR="00BD18A3" w:rsidRDefault="00BD18A3" w:rsidP="00BD18A3">
      <w:pPr>
        <w:pStyle w:val="Lijstalinea"/>
      </w:pPr>
    </w:p>
    <w:p w14:paraId="4F5F1458" w14:textId="77777777" w:rsidR="00BD18A3" w:rsidRDefault="00BD18A3" w:rsidP="00BD18A3">
      <w:pPr>
        <w:pStyle w:val="Lijstalinea"/>
        <w:numPr>
          <w:ilvl w:val="0"/>
          <w:numId w:val="26"/>
        </w:numPr>
        <w:ind w:left="0" w:firstLine="0"/>
      </w:pPr>
      <w:r>
        <w:t xml:space="preserve">Wat minder voor de hand ligt, maar wel minstens even wenselijk, is de overname van de wachttermijnen bij een ontbinding van het huwelijk van bepaalde duur door de uitwerking van de uitdovende tijdsbepaling. Desondanks de ontbinding van het huwelijk door de uitwerking van de uitdovende tijdsbepaling een mate van voorspelbaarheid heeft, is de overgang van gehuwd naar ongehuwd abrupt. </w:t>
      </w:r>
    </w:p>
    <w:p w14:paraId="0D9C4BCA" w14:textId="77777777" w:rsidR="00BD18A3" w:rsidRDefault="00BD18A3" w:rsidP="00BD18A3">
      <w:pPr>
        <w:pStyle w:val="Lijstalinea"/>
      </w:pPr>
    </w:p>
    <w:p w14:paraId="4014335D" w14:textId="77777777" w:rsidR="00BD18A3" w:rsidRDefault="00BD18A3" w:rsidP="00BD18A3">
      <w:pPr>
        <w:pStyle w:val="Lijstalinea"/>
        <w:numPr>
          <w:ilvl w:val="0"/>
          <w:numId w:val="26"/>
        </w:numPr>
        <w:ind w:left="0" w:firstLine="0"/>
      </w:pPr>
      <w:r>
        <w:t>Om dit te overbruggen kan wederom gebruik worden gemaakt van wachttermijnen. Wanneer beide echtgenoten instemmen om het huwelijk niet te verlengen, vernieuwen of hernieuwen kan overeenkomstig het huwelijk van onbepaalde duur, worden voorzien in een wachttermijn van zes maanden.</w:t>
      </w:r>
      <w:r>
        <w:rPr>
          <w:rStyle w:val="Voetnootmarkering"/>
        </w:rPr>
        <w:footnoteReference w:id="198"/>
      </w:r>
      <w:r>
        <w:t xml:space="preserve"> Wanneer één van de echtgenoten echter niet achter het idee stond niet te verlengen, vernieuwen of hernieuwen, is overeenkomstig het huwelijk van onbepaalde duur een wachttermijn van één jaar vereist.</w:t>
      </w:r>
      <w:r>
        <w:rPr>
          <w:rStyle w:val="Voetnootmarkering"/>
        </w:rPr>
        <w:footnoteReference w:id="199"/>
      </w:r>
      <w:r>
        <w:t xml:space="preserve"> Een herhaald verzoek is in dit scenario irrelevant, aangezien het huwelijk van rechtswege wordt ontbonden door de uitwerking van de uitdovende tijdsbepaling.</w:t>
      </w:r>
    </w:p>
    <w:p w14:paraId="62034C5A" w14:textId="77777777" w:rsidR="00BD18A3" w:rsidRDefault="00BD18A3" w:rsidP="00BD18A3">
      <w:pPr>
        <w:pStyle w:val="Lijstalinea"/>
      </w:pPr>
    </w:p>
    <w:p w14:paraId="3395032B" w14:textId="77777777" w:rsidR="00BD18A3" w:rsidRDefault="00BD18A3" w:rsidP="00BD18A3">
      <w:pPr>
        <w:pStyle w:val="Lijstalinea"/>
        <w:numPr>
          <w:ilvl w:val="0"/>
          <w:numId w:val="26"/>
        </w:numPr>
        <w:ind w:left="0" w:firstLine="0"/>
      </w:pPr>
      <w:r>
        <w:t>In dit geval vervult de wachtermijn enkel zijn functie als opzegtermijn, wat de echtgenoten in staat stelt de echtscheiding psychologisch te verwerken en zich praktisch te organiseren. De functie als reflectietermijn vervalt, aangezien eens de uitdovende tijdsbepaling uitwerking krijgt, dit onherroepelijk is. Dit vanwege de bindende kracht van de overeenkomst, dewelke een autonome werking heeft.</w:t>
      </w:r>
      <w:r>
        <w:rPr>
          <w:rStyle w:val="Voetnootmarkering"/>
        </w:rPr>
        <w:footnoteReference w:id="200"/>
      </w:r>
    </w:p>
    <w:p w14:paraId="76A766BA" w14:textId="77777777" w:rsidR="00BD18A3" w:rsidRDefault="00BD18A3" w:rsidP="00BD18A3">
      <w:pPr>
        <w:pStyle w:val="Lijstalinea"/>
      </w:pPr>
    </w:p>
    <w:p w14:paraId="0F1CF32C" w14:textId="77777777" w:rsidR="00BD18A3" w:rsidRPr="00C37992" w:rsidRDefault="00BD18A3" w:rsidP="00BD18A3">
      <w:pPr>
        <w:pStyle w:val="Lijstalinea"/>
        <w:numPr>
          <w:ilvl w:val="0"/>
          <w:numId w:val="26"/>
        </w:numPr>
        <w:ind w:left="0" w:firstLine="0"/>
      </w:pPr>
      <w:r>
        <w:t xml:space="preserve">Voor wat betreft de wettelijke samenwoning van onbepaalde duur, de wettelijke samenwoning </w:t>
      </w:r>
      <w:r w:rsidRPr="00555A71">
        <w:rPr>
          <w:i/>
          <w:iCs/>
        </w:rPr>
        <w:t xml:space="preserve">de lege lata, </w:t>
      </w:r>
      <w:r w:rsidRPr="004021CF">
        <w:t>v</w:t>
      </w:r>
      <w:r>
        <w:t>oorziet de wetgever niet in een wachttermijn. Deze wordt dan ook niet overgenomen voor de wettelijke samenwoning van bepaalde duur.</w:t>
      </w:r>
    </w:p>
    <w:p w14:paraId="64A98D5D" w14:textId="77777777" w:rsidR="00BD18A3" w:rsidRDefault="00BD18A3" w:rsidP="00BD18A3">
      <w:pPr>
        <w:pStyle w:val="Kop2"/>
      </w:pPr>
      <w:bookmarkStart w:id="70" w:name="_Toc167990491"/>
      <w:r>
        <w:t>Hoofdstuk 12. Gevolgen beëindiging</w:t>
      </w:r>
      <w:bookmarkEnd w:id="70"/>
    </w:p>
    <w:p w14:paraId="57A11355" w14:textId="77777777" w:rsidR="00BD18A3" w:rsidRPr="00B8174A" w:rsidRDefault="00BD18A3" w:rsidP="00BD18A3">
      <w:pPr>
        <w:pStyle w:val="Lijstalinea"/>
        <w:numPr>
          <w:ilvl w:val="0"/>
          <w:numId w:val="26"/>
        </w:numPr>
        <w:ind w:left="0" w:firstLine="0"/>
      </w:pPr>
      <w:r>
        <w:t xml:space="preserve">Of het </w:t>
      </w:r>
      <w:r w:rsidRPr="00C404D6">
        <w:t>huwelijk of de wettelijke samenwoning van bepaalde duur nu voortijdig beëindigd wordt (</w:t>
      </w:r>
      <w:r w:rsidRPr="00C404D6">
        <w:rPr>
          <w:i/>
          <w:iCs/>
        </w:rPr>
        <w:t xml:space="preserve">supra </w:t>
      </w:r>
      <w:r w:rsidRPr="00C404D6">
        <w:t>randnummer 132 e.v.) of door de uitwerking van de uitdovende tijdsbepaling (</w:t>
      </w:r>
      <w:r w:rsidRPr="00C404D6">
        <w:rPr>
          <w:i/>
          <w:iCs/>
        </w:rPr>
        <w:t>supra</w:t>
      </w:r>
      <w:r>
        <w:rPr>
          <w:i/>
          <w:iCs/>
        </w:rPr>
        <w:t xml:space="preserve"> </w:t>
      </w:r>
      <w:r w:rsidRPr="00C404D6">
        <w:t>randnummer 137),</w:t>
      </w:r>
      <w:r>
        <w:t xml:space="preserve"> de rechtsgevolgen van de beëindiging zullen identiek zijn. Dit hoofdstuk beoogt de rechtsgevolgen van dit definitieve einde van het huwelijk en de wettelijke samenwoning van bepaalde duur bloot te leggen.</w:t>
      </w:r>
    </w:p>
    <w:p w14:paraId="596F88F5" w14:textId="77777777" w:rsidR="00BD18A3" w:rsidRDefault="00BD18A3" w:rsidP="00BD18A3">
      <w:pPr>
        <w:pStyle w:val="Kop3"/>
        <w:numPr>
          <w:ilvl w:val="0"/>
          <w:numId w:val="14"/>
        </w:numPr>
      </w:pPr>
      <w:bookmarkStart w:id="71" w:name="_Toc167990492"/>
      <w:r>
        <w:lastRenderedPageBreak/>
        <w:t>Huwelijk</w:t>
      </w:r>
      <w:bookmarkEnd w:id="71"/>
    </w:p>
    <w:p w14:paraId="26E5FA1E" w14:textId="77777777" w:rsidR="00BD18A3" w:rsidRPr="00A159D8" w:rsidRDefault="00BD18A3" w:rsidP="00BD18A3">
      <w:pPr>
        <w:pStyle w:val="Lijstalinea"/>
        <w:numPr>
          <w:ilvl w:val="0"/>
          <w:numId w:val="26"/>
        </w:numPr>
        <w:ind w:left="0" w:firstLine="0"/>
      </w:pPr>
      <w:r>
        <w:t>De voortijdige beëindiging of de uitwerking van de uitdovende tijdsbepaling van het huwelijk van bepaalde duur zal de ontbinding van het huwelijk tot gevolg hebben. Enkel de aanleiding van de ontbinding van het huwelijk, namelijk de uitwerking van de uitdovende tijdsbepaling, is specifiek voor het huwelijk van bepaalde duur. Voor het overige loopt de ontbinding van het huwelijk van bepaalde duur volledig gelijk met de ontbinding van het huwelijk van onbepaalde duur. De gevolgen van de ontbinding van het huwelijk van bepaalde duur zijn identiek aan de gevolgen van het huwelijk van onbepaalde duur. De gevolgen van de ontbinding van het huwelijk worden in dit hoofdstuk kort besproken.</w:t>
      </w:r>
    </w:p>
    <w:p w14:paraId="5FB925F1" w14:textId="77777777" w:rsidR="00BD18A3" w:rsidRDefault="00BD18A3" w:rsidP="00BD18A3">
      <w:pPr>
        <w:pStyle w:val="Kop4"/>
        <w:numPr>
          <w:ilvl w:val="0"/>
          <w:numId w:val="13"/>
        </w:numPr>
      </w:pPr>
      <w:bookmarkStart w:id="72" w:name="_Toc167990493"/>
      <w:r>
        <w:t>Vereffening en verdeling huwelijksvermogensstelsel</w:t>
      </w:r>
      <w:bookmarkEnd w:id="72"/>
    </w:p>
    <w:p w14:paraId="5CF16E9B" w14:textId="77777777" w:rsidR="00BD18A3" w:rsidRPr="00A55385" w:rsidRDefault="00BD18A3" w:rsidP="00BD18A3">
      <w:pPr>
        <w:pStyle w:val="Lijstalinea"/>
        <w:numPr>
          <w:ilvl w:val="0"/>
          <w:numId w:val="26"/>
        </w:numPr>
        <w:ind w:left="0" w:firstLine="0"/>
      </w:pPr>
      <w:r>
        <w:t>De ontbinding van het huwelijk heeft de vereffening en verdeling van het huwelijksvermogensstelsel tot gevolg. De vereffening en verdeling van het huwelijksvermogensstelsel houden de juridische verrichtingen in die ertoe leiden dat de onverdeeldheid wordt beëindigd.</w:t>
      </w:r>
      <w:r>
        <w:rPr>
          <w:rStyle w:val="Voetnootmarkering"/>
        </w:rPr>
        <w:footnoteReference w:id="201"/>
      </w:r>
      <w:r>
        <w:t xml:space="preserve"> Het doel van de vereffening en verdeling is de situatie van onverdeeldheid te vervangen door een situatie van exclusief eigendomsrecht. Hierbij worden de ex-echtgenoten hun onverdeelde rechten, een abstract breukdeel, omgezet in exclusieve rechten op concrete elementen van de boedel.</w:t>
      </w:r>
      <w:r>
        <w:rPr>
          <w:rStyle w:val="Voetnootmarkering"/>
        </w:rPr>
        <w:footnoteReference w:id="202"/>
      </w:r>
      <w:r>
        <w:t xml:space="preserve"> De regels inzake de vereffening en verdeling van het huwelijksvermogensstelsel zullen voor het vereffenen en verdelen van het huwelijk van bepaalde duur volledig gelijk lopen met die van het huwelijk van onbepaalde duur, het positiefrechtelijke huwelijk.</w:t>
      </w:r>
    </w:p>
    <w:p w14:paraId="352D2B44" w14:textId="77777777" w:rsidR="00BD18A3" w:rsidRDefault="00BD18A3" w:rsidP="00BD18A3">
      <w:pPr>
        <w:pStyle w:val="Kop4"/>
        <w:numPr>
          <w:ilvl w:val="0"/>
          <w:numId w:val="13"/>
        </w:numPr>
      </w:pPr>
      <w:bookmarkStart w:id="73" w:name="_Toc167990494"/>
      <w:r>
        <w:t>A</w:t>
      </w:r>
      <w:r w:rsidRPr="0016220C">
        <w:t>limentatie tussen ex-echtgenoten</w:t>
      </w:r>
      <w:bookmarkEnd w:id="73"/>
    </w:p>
    <w:p w14:paraId="20E1AC51" w14:textId="77777777" w:rsidR="00BD18A3" w:rsidRDefault="00BD18A3" w:rsidP="00BD18A3">
      <w:pPr>
        <w:pStyle w:val="Lijstalinea"/>
        <w:numPr>
          <w:ilvl w:val="0"/>
          <w:numId w:val="26"/>
        </w:numPr>
        <w:ind w:left="0" w:firstLine="0"/>
      </w:pPr>
      <w:r>
        <w:t>De onderhoudsplicht tussen ex-echtgenoten steunt op de idee dat</w:t>
      </w:r>
      <w:r w:rsidRPr="00BC7405">
        <w:t>,</w:t>
      </w:r>
      <w:r>
        <w:t xml:space="preserve"> ondanks </w:t>
      </w:r>
      <w:r w:rsidRPr="00BC7405">
        <w:t>de persoonlijke rechten en verplichtingen van echtgenoten eindigen bij de ontbinding van het huwelijk, de huwelijkse solidariteit in zekere mate blijft doorwerken na de echtscheiding</w:t>
      </w:r>
      <w:r>
        <w:t xml:space="preserve">. Dit </w:t>
      </w:r>
      <w:r w:rsidRPr="00BC7405">
        <w:t xml:space="preserve">ten voordele van de </w:t>
      </w:r>
      <w:r>
        <w:t xml:space="preserve">gewezen </w:t>
      </w:r>
      <w:r w:rsidRPr="00BC7405">
        <w:t xml:space="preserve">echtgenoot die een economische achterstand heeft opgelopen omwille van afspraken die tijdens het huwelijk tussen de echtgenoten zijn gemaakt of omwille </w:t>
      </w:r>
      <w:r>
        <w:t>van</w:t>
      </w:r>
      <w:r w:rsidRPr="00BC7405">
        <w:t xml:space="preserve"> andere oorzaken tijdens het huwelijk</w:t>
      </w:r>
      <w:r>
        <w:t xml:space="preserve">. Denk hierbij aan keuzes omtrent carrièreplanning of een ziekte of handicap gedurende het huwelijk. </w:t>
      </w:r>
      <w:r w:rsidRPr="00BC7405">
        <w:t>Opgelopen economische achterstand en bekomen economische voorsprong komen na echtscheiding in aanmerking voor compensatie</w:t>
      </w:r>
      <w:r>
        <w:t>. Dit door middel van alimentatie tussen ex-echtgenoten.</w:t>
      </w:r>
      <w:r>
        <w:rPr>
          <w:rStyle w:val="Voetnootmarkering"/>
        </w:rPr>
        <w:footnoteReference w:id="203"/>
      </w:r>
    </w:p>
    <w:p w14:paraId="0C9C6663" w14:textId="77777777" w:rsidR="00BD18A3" w:rsidRDefault="00BD18A3" w:rsidP="00BD18A3">
      <w:pPr>
        <w:pStyle w:val="Lijstalinea"/>
      </w:pPr>
    </w:p>
    <w:p w14:paraId="671097F7" w14:textId="77777777" w:rsidR="00BD18A3" w:rsidRDefault="00BD18A3" w:rsidP="00BD18A3">
      <w:pPr>
        <w:pStyle w:val="Lijstalinea"/>
        <w:numPr>
          <w:ilvl w:val="0"/>
          <w:numId w:val="26"/>
        </w:numPr>
        <w:ind w:left="0" w:firstLine="0"/>
      </w:pPr>
      <w:r>
        <w:t>In beginsel kunnen de echtgenoten op elk ogenblik zelf een alimentatie overeenkomen. Hierbij bepalen zij onderling het bedrag van de alimentatie en de nadere regels hoe dit bedrag kan worden herzien.</w:t>
      </w:r>
      <w:r>
        <w:rPr>
          <w:rStyle w:val="Voetnootmarkering"/>
        </w:rPr>
        <w:footnoteReference w:id="204"/>
      </w:r>
      <w:r>
        <w:t xml:space="preserve"> Wanneer voormalige echtgenoten geen vergelijk over een alimentatie bereiken, kan de behoeftige echtgenoot de familierechtbank vorderen om hierover uitspraak te doen. De familierechtbank kan in het vonnis dat de echtscheiding uitspreekt (bij ontbinding tijdens het huwelijk) of bij een latere beslissing (bij ontbinding tijdens het huwelijk of bij ontbinding door verstrijken tijdsbepaling) een alimentatie toestaan op verzoek van de behoeftige echtgenoot ten laste van de andere echtgenoot.</w:t>
      </w:r>
      <w:r>
        <w:rPr>
          <w:rStyle w:val="Voetnootmarkering"/>
        </w:rPr>
        <w:footnoteReference w:id="205"/>
      </w:r>
    </w:p>
    <w:p w14:paraId="02A2BAD2" w14:textId="77777777" w:rsidR="00BD18A3" w:rsidRDefault="00BD18A3" w:rsidP="00BD18A3">
      <w:pPr>
        <w:pStyle w:val="Lijstalinea"/>
      </w:pPr>
    </w:p>
    <w:p w14:paraId="37E5C6D5" w14:textId="77777777" w:rsidR="00BD18A3" w:rsidRDefault="00BD18A3" w:rsidP="00BD18A3">
      <w:pPr>
        <w:pStyle w:val="Lijstalinea"/>
        <w:numPr>
          <w:ilvl w:val="0"/>
          <w:numId w:val="26"/>
        </w:numPr>
        <w:ind w:left="0" w:firstLine="0"/>
      </w:pPr>
      <w:r>
        <w:t>Het recht om na ontbinding van het huwelijk een alimentatie te vorderen bij de familierechtbank is onverminderd van toepassing voor het huwelijk van bepaalde duur.</w:t>
      </w:r>
    </w:p>
    <w:p w14:paraId="0509AA3C" w14:textId="77777777" w:rsidR="00BD18A3" w:rsidRDefault="00BD18A3" w:rsidP="00BD18A3">
      <w:pPr>
        <w:pStyle w:val="Kop4"/>
        <w:numPr>
          <w:ilvl w:val="0"/>
          <w:numId w:val="13"/>
        </w:numPr>
      </w:pPr>
      <w:bookmarkStart w:id="74" w:name="_Toc167990495"/>
      <w:r>
        <w:t>Kinderen</w:t>
      </w:r>
      <w:bookmarkEnd w:id="74"/>
    </w:p>
    <w:p w14:paraId="5ED46389" w14:textId="77777777" w:rsidR="00BD18A3" w:rsidRDefault="00BD18A3" w:rsidP="00BD18A3">
      <w:pPr>
        <w:pStyle w:val="Lijstalinea"/>
        <w:numPr>
          <w:ilvl w:val="0"/>
          <w:numId w:val="26"/>
        </w:numPr>
        <w:ind w:left="0" w:firstLine="0"/>
      </w:pPr>
      <w:r>
        <w:t>Ten aanzien van het kind of de kinderen van de echtgenoten wordt na de ontbinding van het huwelijk het gezag over de persoon van het kind en het beheer van zijn goederen door ofwel beide ouders gezamelijk uitgeoefend, ofwel door de ouder aan wie het kind werd toevertrouwd.</w:t>
      </w:r>
      <w:r>
        <w:rPr>
          <w:rStyle w:val="Voetnootmarkering"/>
        </w:rPr>
        <w:footnoteReference w:id="206"/>
      </w:r>
      <w:r>
        <w:t xml:space="preserve"> Dergelijke toevertrouwing kan enerzijds gebeuren door een overeenkomst die wordt gesloten tussen de echtgenoten, dewelke gehomologeerd wordt door de rechter.</w:t>
      </w:r>
      <w:r>
        <w:rPr>
          <w:rStyle w:val="Voetnootmarkering"/>
        </w:rPr>
        <w:footnoteReference w:id="207"/>
      </w:r>
      <w:r>
        <w:t xml:space="preserve"> Anderzijds kan de toevertrouwing zich voltrekken door een beschikking via de familierechtbank.</w:t>
      </w:r>
      <w:r>
        <w:rPr>
          <w:rStyle w:val="Voetnootmarkering"/>
        </w:rPr>
        <w:footnoteReference w:id="208"/>
      </w:r>
      <w:r>
        <w:t xml:space="preserve"> Hoe dan ook primeert het belang van het kind. De ontbinding van het huwelijk mag de kinderen in geen geval een voordeel ontnemen dat hen door de wet of door huwelijksvoorwaarden was verzekerd.</w:t>
      </w:r>
      <w:r>
        <w:rPr>
          <w:rStyle w:val="Voetnootmarkering"/>
        </w:rPr>
        <w:footnoteReference w:id="209"/>
      </w:r>
    </w:p>
    <w:p w14:paraId="14FB7143" w14:textId="77777777" w:rsidR="00BD18A3" w:rsidRDefault="00BD18A3" w:rsidP="00BD18A3">
      <w:pPr>
        <w:pStyle w:val="Kop3"/>
        <w:numPr>
          <w:ilvl w:val="0"/>
          <w:numId w:val="14"/>
        </w:numPr>
      </w:pPr>
      <w:bookmarkStart w:id="75" w:name="_Toc167990496"/>
      <w:r>
        <w:t>W</w:t>
      </w:r>
      <w:r w:rsidRPr="009404B7">
        <w:t>ettelijke samenwoning</w:t>
      </w:r>
      <w:bookmarkEnd w:id="75"/>
    </w:p>
    <w:p w14:paraId="0D34DFCD" w14:textId="77777777" w:rsidR="00BD18A3" w:rsidRPr="00A159D8" w:rsidRDefault="00BD18A3" w:rsidP="00BD18A3">
      <w:pPr>
        <w:pStyle w:val="Lijstalinea"/>
        <w:numPr>
          <w:ilvl w:val="0"/>
          <w:numId w:val="26"/>
        </w:numPr>
        <w:ind w:left="0" w:firstLine="0"/>
      </w:pPr>
      <w:r>
        <w:t xml:space="preserve">De voortijdige beëindiging of de uitwerking van de uitdovende tijdsbepaling van de wettelijke samenwonig van bepaalde duur zal de beëindiging van de wettelijke samenwoning tot gevolg hebben. Net zoals bij het huwelijk van bepaalde duur zal enkel de aanleiding van de beëindiging, namelijk de uitwerking van de uitdovende tijdsbepaling, specifiek zijn voor de wettelijke samenwoning van bepaalde duur. Verder loopt de beëindiging van de wettelijke samenwoning van bepaalde duur volledig overeenkomstig de beëindiging van de wettelijke samenwoning van onbepaalde duur. De gevolgen van de </w:t>
      </w:r>
      <w:r>
        <w:lastRenderedPageBreak/>
        <w:t>beëindiging van de wettelijke samenwoning van bepaalde duur zijn dan ook identiek aan de gevolgen van de wettelijke samenwoning van onbepaalde duur.</w:t>
      </w:r>
    </w:p>
    <w:p w14:paraId="407A6163" w14:textId="77777777" w:rsidR="00BD18A3" w:rsidRDefault="00BD18A3" w:rsidP="00BD18A3">
      <w:pPr>
        <w:pStyle w:val="Kop4"/>
        <w:numPr>
          <w:ilvl w:val="0"/>
          <w:numId w:val="27"/>
        </w:numPr>
      </w:pPr>
      <w:bookmarkStart w:id="76" w:name="_Toc167990497"/>
      <w:r>
        <w:t>Dringende en voorlopige maatregelen</w:t>
      </w:r>
      <w:bookmarkEnd w:id="76"/>
    </w:p>
    <w:p w14:paraId="31F6E95C" w14:textId="77777777" w:rsidR="00BD18A3" w:rsidRDefault="00BD18A3" w:rsidP="00BD18A3">
      <w:pPr>
        <w:pStyle w:val="Lijstalinea"/>
        <w:numPr>
          <w:ilvl w:val="0"/>
          <w:numId w:val="26"/>
        </w:numPr>
        <w:ind w:left="0" w:firstLine="0"/>
      </w:pPr>
      <w:r>
        <w:t>In tegenstelling tot het huwelijk is er bij de beëindiging van de wettelijke samenwoning op vlak van alimentatie tussen ex-wettelijke samenwoners geen specifieke wettelijke solidariteitsregeling. Echter is er onenigheid binnen de rechtsleer of de familierechtbank ook een onderhoudsuitkering kan toekennen aan de economisch behoeftige wettelijke samenwonende in het licht van de dringende en voorlopige maatregelen.</w:t>
      </w:r>
      <w:r>
        <w:rPr>
          <w:rStyle w:val="Voetnootmarkering"/>
        </w:rPr>
        <w:footnoteReference w:id="210"/>
      </w:r>
      <w:r>
        <w:t xml:space="preserve"> Dit terwijl er strikt genomen geen sprake meer is van een verplichting om bij te dragen in de lasten van de samenleving.</w:t>
      </w:r>
      <w:r>
        <w:rPr>
          <w:rStyle w:val="Voetnootmarkering"/>
        </w:rPr>
        <w:footnoteReference w:id="211"/>
      </w:r>
      <w:r>
        <w:t xml:space="preserve"> De meningen binnen de rechtspraak en rechtsleer zijn hieromtrent sterk verdeeld. Een deel binnen de rechtspraak en </w:t>
      </w:r>
      <w:r w:rsidRPr="00E13B59">
        <w:t>rechtsleer</w:t>
      </w:r>
      <w:r>
        <w:t xml:space="preserve"> is van oordeel dat dergelijke alimentatie niet kan worden toegekend, omwille van de afwezigheid van een uitdrukkelijke grondslag en aangezien de bijdrageplicht in de lasten van het samenleven, is vervallen.</w:t>
      </w:r>
      <w:r>
        <w:rPr>
          <w:rStyle w:val="Voetnootmarkering"/>
        </w:rPr>
        <w:footnoteReference w:id="212"/>
      </w:r>
      <w:r>
        <w:t xml:space="preserve"> Een ander deel stelt daarentegen dat de alimentatie ten behoeve van de economisch behoeftige ex-partner kan worden gerechtvaardigd naargelang de feitelijke omstandigheden. Deze strekking is van mening dat de dringende en voorlopige maatregelen </w:t>
      </w:r>
      <w:r w:rsidRPr="002D7833">
        <w:rPr>
          <w:i/>
          <w:iCs/>
        </w:rPr>
        <w:t>an sich</w:t>
      </w:r>
      <w:r>
        <w:t xml:space="preserve"> de rechtsgrond voor een alimentatie vormen.</w:t>
      </w:r>
      <w:r>
        <w:rPr>
          <w:rStyle w:val="Voetnootmarkering"/>
        </w:rPr>
        <w:footnoteReference w:id="213"/>
      </w:r>
    </w:p>
    <w:p w14:paraId="68633274" w14:textId="77777777" w:rsidR="00BD18A3" w:rsidRDefault="00BD18A3" w:rsidP="00BD18A3">
      <w:pPr>
        <w:pStyle w:val="Lijstalinea"/>
      </w:pPr>
    </w:p>
    <w:p w14:paraId="409389A5" w14:textId="77777777" w:rsidR="00BD18A3" w:rsidRDefault="00BD18A3" w:rsidP="00BD18A3">
      <w:pPr>
        <w:pStyle w:val="Lijstalinea"/>
        <w:numPr>
          <w:ilvl w:val="0"/>
          <w:numId w:val="26"/>
        </w:numPr>
        <w:ind w:left="0" w:firstLine="0"/>
      </w:pPr>
      <w:r>
        <w:lastRenderedPageBreak/>
        <w:t>Hoe dan ook staat echter buiten kijf dat wanneer een alimentatie mogelijk is voor de wettelijke samenwoning van onbepaalde duur, dat onverminderd mogelijk moet zijn voor de wettelijke samenwoning van bepaalde duur.</w:t>
      </w:r>
    </w:p>
    <w:p w14:paraId="7714624B" w14:textId="77777777" w:rsidR="00BD18A3" w:rsidRPr="00321E7C" w:rsidRDefault="00BD18A3" w:rsidP="00BD18A3">
      <w:pPr>
        <w:spacing w:line="240" w:lineRule="auto"/>
        <w:jc w:val="left"/>
      </w:pPr>
      <w:r>
        <w:br w:type="page"/>
      </w:r>
    </w:p>
    <w:p w14:paraId="640BD1E7" w14:textId="77777777" w:rsidR="00BD18A3" w:rsidRDefault="00BD18A3" w:rsidP="00BD18A3">
      <w:pPr>
        <w:pStyle w:val="Kop1"/>
      </w:pPr>
      <w:bookmarkStart w:id="77" w:name="_Toc167990498"/>
      <w:r>
        <w:lastRenderedPageBreak/>
        <w:t>DEEL III: Naar een huwelijks- en samenlevingsovereenkomst van bepaalde duur?</w:t>
      </w:r>
      <w:bookmarkEnd w:id="77"/>
    </w:p>
    <w:p w14:paraId="34807218" w14:textId="77777777" w:rsidR="00BD18A3" w:rsidRDefault="00BD18A3" w:rsidP="00BD18A3">
      <w:pPr>
        <w:pStyle w:val="Lijstalinea"/>
        <w:numPr>
          <w:ilvl w:val="0"/>
          <w:numId w:val="26"/>
        </w:numPr>
        <w:ind w:left="0" w:firstLine="0"/>
      </w:pPr>
      <w:r>
        <w:t>Het vorige deel zette op juridisch-technische wijze uiteen op welke wijze het huwelijk en de wettelijke samenwoning van bepaalde duur kan worden geconcipieerd binnen het Belgisch recht. Echter is het nog maar de vraag of, los van het juridische, het huwelijk en de wettelijke samenwoning van bepaalde duur, maatschappelijk zijn ingang kan vinden. Het is noodzakelijk dat, naast de juridische context, ook de maatschappelijke context klaar is om het huwelijk en de wettelijke samenwoning van bepaalde duur te omarmen. Dit onderzoek focuste zich louter op het juridisch-technische aspect van het integreren van  huwelijk en de wettelijke samenwoning van bepaalde duur en laat de vraag omtrent het maatschappelijke of politieke aspect ongemoeid. Evenwel kan intuïtief worden aangevoeld dat het effectief tot stand brengen van het huwelijk en de wettelijke samenwoning van bepaalde duur niet zonder maatschappelijke slag of stoot zal verlopen.</w:t>
      </w:r>
    </w:p>
    <w:p w14:paraId="3EA5E121" w14:textId="77777777" w:rsidR="00BD18A3" w:rsidRDefault="00BD18A3" w:rsidP="00BD18A3">
      <w:pPr>
        <w:pStyle w:val="Lijstalinea"/>
      </w:pPr>
    </w:p>
    <w:p w14:paraId="7CBA83BB" w14:textId="77777777" w:rsidR="00BD18A3" w:rsidRDefault="00BD18A3" w:rsidP="00BD18A3">
      <w:pPr>
        <w:pStyle w:val="Lijstalinea"/>
        <w:numPr>
          <w:ilvl w:val="0"/>
          <w:numId w:val="26"/>
        </w:numPr>
        <w:ind w:left="0" w:firstLine="0"/>
      </w:pPr>
      <w:r>
        <w:t>Om mogelijke maatschappelijke weerstand of juridische onverenigbaarheden te counteren, kan reeds worden nagedacht over een meer laagdrempeligere versie van een partnerrelatie van bepaalde duur. Een partnerrelatie van bepaalde duur “</w:t>
      </w:r>
      <w:r w:rsidRPr="003E0743">
        <w:rPr>
          <w:i/>
        </w:rPr>
        <w:t xml:space="preserve">light” </w:t>
      </w:r>
      <w:r>
        <w:t>kan licht verteerbaarder zijn binnen de juridische en maatschappelijke context.</w:t>
      </w:r>
    </w:p>
    <w:p w14:paraId="1A5C877C" w14:textId="77777777" w:rsidR="00BD18A3" w:rsidRDefault="00BD18A3" w:rsidP="00BD18A3">
      <w:pPr>
        <w:pStyle w:val="Lijstalinea"/>
      </w:pPr>
    </w:p>
    <w:p w14:paraId="6AC65EE9" w14:textId="77777777" w:rsidR="00BD18A3" w:rsidRDefault="00BD18A3" w:rsidP="00BD18A3">
      <w:pPr>
        <w:pStyle w:val="Lijstalinea"/>
        <w:numPr>
          <w:ilvl w:val="0"/>
          <w:numId w:val="26"/>
        </w:numPr>
        <w:ind w:left="0" w:firstLine="0"/>
      </w:pPr>
      <w:r>
        <w:t>O</w:t>
      </w:r>
      <w:r w:rsidRPr="00F93651">
        <w:t xml:space="preserve">p initiatief van de Staatssecretaris voor Gendergelijkheid, Gelijke Kansen en Diversiteit en in opdracht van het Instituut voor de gelijkheid van vrouwen en mannen </w:t>
      </w:r>
      <w:r>
        <w:t>werd reeds een studie uitgevoerd over de genderspecifieke vermogensoverdracht.</w:t>
      </w:r>
      <w:r w:rsidRPr="00270E1E">
        <w:t xml:space="preserve"> </w:t>
      </w:r>
      <w:r>
        <w:br/>
      </w:r>
      <w:r w:rsidRPr="00270E1E">
        <w:t>Het onderzoek beoogde vanuit een juridisch standpunt en met behulp van empirische methoden te onderzoeken of de wettelijke mechanismen voor de overdracht van vermogen en de wijze waarop deze worden toegepast door juridische experts, een onderscheidend effect hebben op mannen en vrouwen. Tevens werd onderzocht of deze instrumenten of hun toepassing in de praktijk mogelijk bijdragen aan de gendervermogenskloof.</w:t>
      </w:r>
    </w:p>
    <w:p w14:paraId="5733F9B1" w14:textId="77777777" w:rsidR="00BD18A3" w:rsidRDefault="00BD18A3" w:rsidP="00BD18A3">
      <w:r>
        <w:t xml:space="preserve"> </w:t>
      </w:r>
    </w:p>
    <w:p w14:paraId="7FFEEE9D" w14:textId="77777777" w:rsidR="00BD18A3" w:rsidRDefault="00BD18A3" w:rsidP="00BD18A3">
      <w:r>
        <w:t>Op basis van de conclusies uit het onderzoek, stelden de onderzoekers enkele aanbevelingen voor. Enkele van deze aanbevelingen spitsten zich toe op de duur en de opzegging van de huwelijks- en samenlevingsovereenkomst. Een van de aanbevelingen droeg de invoering van de mogelijkheid tot opzegging van huwelijks- en samenlevingsovereenkomst voor. Een andere aanbeveling had tot doel de introductie van de wettelijke verplichting om een huwelijksovereenkomst of een wettelijke samenlevingsovereenkomst om de vijf of tien jaar te hernieuwen.</w:t>
      </w:r>
      <w:r>
        <w:rPr>
          <w:rStyle w:val="Voetnootmarkering"/>
        </w:rPr>
        <w:footnoteReference w:id="214"/>
      </w:r>
    </w:p>
    <w:p w14:paraId="7214EBC7" w14:textId="77777777" w:rsidR="00BD18A3" w:rsidRDefault="00BD18A3" w:rsidP="00BD18A3">
      <w:pPr>
        <w:pStyle w:val="Lijstalinea"/>
        <w:numPr>
          <w:ilvl w:val="0"/>
          <w:numId w:val="26"/>
        </w:numPr>
        <w:ind w:left="0" w:firstLine="0"/>
      </w:pPr>
      <w:r>
        <w:lastRenderedPageBreak/>
        <w:t>Hieruit kan worden afgeleid dat het karakter van onbepaalde duur van de partnerrelatie reeds durft in vraag gesteld te worden en dat dit geen juridisch taboe is. Er rijzen al stemmen binnen het familierecht om voor het huwelijks- en samenwoningsvermogensrecht een beweging weg van de onbepaalde duur in te zetten. De aanbevelingen van het onderzoek met betrekking tot de duur van het huwelijks- en samenwoningsvermogensrecht zullen dienst doen als inspiratie om de relatievermogensrechtelijke overeenkomst van bepaalde duur vorm te geven.</w:t>
      </w:r>
    </w:p>
    <w:p w14:paraId="27A61D1E" w14:textId="77777777" w:rsidR="00BD18A3" w:rsidRDefault="00BD18A3" w:rsidP="00BD18A3">
      <w:pPr>
        <w:pStyle w:val="Lijstalinea"/>
      </w:pPr>
    </w:p>
    <w:p w14:paraId="2AB7CA10" w14:textId="77777777" w:rsidR="00BD18A3" w:rsidRDefault="00BD18A3" w:rsidP="00BD18A3">
      <w:pPr>
        <w:pStyle w:val="Lijstalinea"/>
        <w:numPr>
          <w:ilvl w:val="0"/>
          <w:numId w:val="26"/>
        </w:numPr>
        <w:ind w:left="0" w:firstLine="0"/>
      </w:pPr>
      <w:r>
        <w:t xml:space="preserve">Vooreerst is het belangrijk een duidelijk onderscheid te maken met het vorige deel. Het voorgaande deel besprak of en op welke manier het huwelijk en de wettelijke samenwoning van bepaalde duur op juridisch-technische wijze kan worden vormgegeven. Het behandelde het scenario waarbij het huwelijk en de wettelijke samenwoning gekoppeld werd aan een tijdsbepaling, wat het einde van de relatievorm impliceerde. Dit door middel van een clausule in de huwelijk- of samenlevingsovereenkomst of een specifieke overeenkomst met de uitdovende tijdsbepaling. Hierbij ging het over de relatievorm </w:t>
      </w:r>
      <w:r w:rsidRPr="00C63D94">
        <w:rPr>
          <w:i/>
          <w:iCs/>
        </w:rPr>
        <w:t>an sich</w:t>
      </w:r>
      <w:r>
        <w:t xml:space="preserve"> die van bepaalde duur is. Dit met de kanttekening dat </w:t>
      </w:r>
      <w:r w:rsidRPr="008E4394">
        <w:t>verlenging</w:t>
      </w:r>
      <w:r>
        <w:t xml:space="preserve">, </w:t>
      </w:r>
      <w:r w:rsidRPr="008E4394">
        <w:t>vernieuwing</w:t>
      </w:r>
      <w:r>
        <w:t xml:space="preserve"> en hernieuwing</w:t>
      </w:r>
      <w:r w:rsidRPr="008E4394">
        <w:t xml:space="preserve"> tot</w:t>
      </w:r>
      <w:r>
        <w:t xml:space="preserve"> de mogelijkheden behoren.</w:t>
      </w:r>
    </w:p>
    <w:p w14:paraId="67CF8A32" w14:textId="77777777" w:rsidR="00BD18A3" w:rsidRDefault="00BD18A3" w:rsidP="00BD18A3">
      <w:pPr>
        <w:pStyle w:val="Lijstalinea"/>
      </w:pPr>
    </w:p>
    <w:p w14:paraId="1FF59DD2" w14:textId="77777777" w:rsidR="00BD18A3" w:rsidRDefault="00BD18A3" w:rsidP="00BD18A3">
      <w:pPr>
        <w:pStyle w:val="Lijstalinea"/>
        <w:numPr>
          <w:ilvl w:val="0"/>
          <w:numId w:val="26"/>
        </w:numPr>
        <w:ind w:left="0" w:firstLine="0"/>
      </w:pPr>
      <w:r>
        <w:t xml:space="preserve">Dit deel gaat, in tegenstelling tot het voorgaande, uit van het huwelijk en de wettelijke samenwoning van onbepaalde duur, het huwelijk en de wettelijke samenwoning </w:t>
      </w:r>
      <w:r w:rsidRPr="00E02FC4">
        <w:rPr>
          <w:i/>
          <w:iCs/>
        </w:rPr>
        <w:t>de lege lata</w:t>
      </w:r>
      <w:r>
        <w:t>. Op niveau van het instituut van het huwelijk en de wettelijke samenwoning zal alles onveranderd blijven. Echter zal er op niveau van de respectievelijke huwelijks- of samenlevingsovereenkomst wel een verschil zijn. De relatievermogensrechtelijke overeenkomst, die gericht is op het regelen van de vermogensrechtelijke aspecten tussen de partners, zal voor bepaalde duur worden aangegaan. Dit deel bespreekt dus in tegenstelling tot het vorige, niet het huwelijk en de wettelijke samenwoning van bepaalde duur, maar de huwelijks- en samenlevingsovereenkomst van bepaalde duur.</w:t>
      </w:r>
    </w:p>
    <w:p w14:paraId="2CB44C38" w14:textId="77777777" w:rsidR="00BD18A3" w:rsidRDefault="00BD18A3" w:rsidP="00BD18A3">
      <w:pPr>
        <w:pStyle w:val="Kop2"/>
      </w:pPr>
      <w:bookmarkStart w:id="78" w:name="_Toc167990499"/>
      <w:r>
        <w:t>Hoofdstuk 1. Ratio legis</w:t>
      </w:r>
      <w:bookmarkEnd w:id="78"/>
    </w:p>
    <w:p w14:paraId="1BDCCC66" w14:textId="77777777" w:rsidR="00BD18A3" w:rsidRDefault="00BD18A3" w:rsidP="00BD18A3">
      <w:pPr>
        <w:pStyle w:val="Lijstalinea"/>
        <w:numPr>
          <w:ilvl w:val="0"/>
          <w:numId w:val="26"/>
        </w:numPr>
        <w:ind w:left="0" w:firstLine="0"/>
      </w:pPr>
      <w:r>
        <w:t>Gedurende de levensloop van de partnerrelatie is de context van het huwelijk of de wettelijke samenwoning veranderlijk doorheen de jaren. Zo is het aannemelijk dat echtgenoten of wettelijke samenwoners kinderen krijgen, een gezinswoning aankopen, professionele paden kiezen in functie van het gezin of carrière, een buitenverblijf aanschaffen,… Dergelijke gebeurtenissen kunnen niet alleen een aanzienlijk impact hebben op niveau van het individu, maar tevens op niveau van de partnerrelatie. Wanneer echtgenoten of wettelijke samenwonenden een huwelijks- of samenlevingsovereenkomst sluiten, bestaat het risico dat ze dit doen met de kennis en binnen de context van het heden, zonder voldoende verder te denken over levensgebeurtenissen in de toekomst.</w:t>
      </w:r>
    </w:p>
    <w:p w14:paraId="009A268C" w14:textId="77777777" w:rsidR="00BD18A3" w:rsidRDefault="00BD18A3" w:rsidP="00BD18A3">
      <w:pPr>
        <w:pStyle w:val="Lijstalinea"/>
      </w:pPr>
      <w:r>
        <w:lastRenderedPageBreak/>
        <w:t>Hierdoor zou de situatie kunnen voordoen waarbij een huwelijks- of samenlevingsovereenkomst, jaren geleden gesloten, van kracht is, maar eigenlijk gedateerd en niet meer wenselijk is voor de realiteit vandaag. Om dergelijke scenario’s te vermijden, zou een vervaldatum op de huwelijks- of samenlevingsovereenkomst soelaas kunnen bieden. Met het oog op het beschermen van de economisch kwetsbaardere echtgenoot of wettelijk samenwonende, wordt er op die manier gegarandeerd dat deze de kans krijgt de huwelijks- of samenlevingsovereenkomst te heroverwegen.</w:t>
      </w:r>
    </w:p>
    <w:p w14:paraId="34C572E5" w14:textId="77777777" w:rsidR="00BD18A3" w:rsidRDefault="00BD18A3" w:rsidP="00BD18A3">
      <w:pPr>
        <w:pStyle w:val="Kop2"/>
      </w:pPr>
      <w:bookmarkStart w:id="79" w:name="_Toc167990500"/>
      <w:r>
        <w:t>Hoofdstuk 2. Uitdovende tijdsbepaling</w:t>
      </w:r>
      <w:bookmarkEnd w:id="79"/>
    </w:p>
    <w:p w14:paraId="15D59137" w14:textId="77777777" w:rsidR="00BD18A3" w:rsidRDefault="00BD18A3" w:rsidP="00BD18A3">
      <w:pPr>
        <w:pStyle w:val="Lijstalinea"/>
        <w:numPr>
          <w:ilvl w:val="0"/>
          <w:numId w:val="26"/>
        </w:numPr>
        <w:ind w:left="0" w:firstLine="0"/>
      </w:pPr>
      <w:r>
        <w:t>Dergelijke vervaldatum op de huwelijks- en samenlevingsovereenkomst, wat van de huwelijks- en samenlevingsovereenkomst een contract van bepaalde duur maakt, zou zich juridisch kunnen vertalen in een uitdovende tijdsbepaling.</w:t>
      </w:r>
      <w:r>
        <w:rPr>
          <w:rStyle w:val="Voetnootmarkering"/>
        </w:rPr>
        <w:footnoteReference w:id="215"/>
      </w:r>
      <w:r>
        <w:t xml:space="preserve"> Hierbij kan de huwelijks- of samenlevingsovereenkomst gekoppeld worden aan een tijdsbepaling die uitdovend werkt. Het verstrijken van de tijdsbepaling zal dan het tenietgaan van de verbintenis teweegbrengen.</w:t>
      </w:r>
      <w:r>
        <w:rPr>
          <w:rStyle w:val="Voetnootmarkering"/>
        </w:rPr>
        <w:footnoteReference w:id="216"/>
      </w:r>
      <w:r>
        <w:t xml:space="preserve"> </w:t>
      </w:r>
      <w:r w:rsidRPr="00F10C2B">
        <w:rPr>
          <w:lang w:val="nl-NL"/>
        </w:rPr>
        <w:t>De wetgever erkent uitdrukkelijk de uitdovende tijdsbepaling als grond van tenietgaan van een verbintenis.</w:t>
      </w:r>
      <w:r>
        <w:rPr>
          <w:rStyle w:val="Voetnootmarkering"/>
          <w:lang w:val="nl-NL"/>
        </w:rPr>
        <w:footnoteReference w:id="217"/>
      </w:r>
      <w:r>
        <w:t xml:space="preserve"> Hierdoor kan de wetgever de echtgenoten en wettelijk samenwonenden verplichten om na te denken over hun huwelijks- of samenlevingsovereenkomst, aangezien </w:t>
      </w:r>
      <w:r w:rsidRPr="00A54DDB">
        <w:t>deze actief dient verlengd</w:t>
      </w:r>
      <w:r>
        <w:t xml:space="preserve">, </w:t>
      </w:r>
      <w:r w:rsidRPr="00A54DDB">
        <w:t>vernieuwd</w:t>
      </w:r>
      <w:r>
        <w:t xml:space="preserve"> of gewijzigd</w:t>
      </w:r>
      <w:r w:rsidRPr="00A54DDB">
        <w:t xml:space="preserve"> te worden</w:t>
      </w:r>
      <w:r>
        <w:t xml:space="preserve">. Op deze wijze geeft de wetgever een </w:t>
      </w:r>
      <w:r w:rsidRPr="00F10C2B">
        <w:rPr>
          <w:i/>
          <w:iCs/>
        </w:rPr>
        <w:t>incentive</w:t>
      </w:r>
      <w:r>
        <w:t xml:space="preserve"> aan echtgenoten en wettelijke samenwonenden om hun huwelijks- en samenwoningsvermogensrecht te heroverwegen en mogelijk te conformeren aan hun nieuwe realiteit.</w:t>
      </w:r>
    </w:p>
    <w:p w14:paraId="3D3097AD" w14:textId="77777777" w:rsidR="00BD18A3" w:rsidRDefault="00BD18A3" w:rsidP="00BD18A3">
      <w:pPr>
        <w:pStyle w:val="Lijstalinea"/>
      </w:pPr>
    </w:p>
    <w:p w14:paraId="0C379BE2" w14:textId="77777777" w:rsidR="00BD18A3" w:rsidRDefault="00BD18A3" w:rsidP="00BD18A3">
      <w:pPr>
        <w:pStyle w:val="Lijstalinea"/>
        <w:numPr>
          <w:ilvl w:val="0"/>
          <w:numId w:val="26"/>
        </w:numPr>
        <w:ind w:left="0" w:firstLine="0"/>
      </w:pPr>
      <w:r>
        <w:t>Een wijziging van de huwelijks- of samenlevingsovereenkomst is op elk moment gedurende de partnerrelatie mogelijk. E</w:t>
      </w:r>
      <w:r w:rsidRPr="002A2A0C">
        <w:t>chtgenoten</w:t>
      </w:r>
      <w:r>
        <w:t xml:space="preserve"> en wettelijk samenwonenden</w:t>
      </w:r>
      <w:r w:rsidRPr="002A2A0C">
        <w:t xml:space="preserve"> kunnen</w:t>
      </w:r>
      <w:r>
        <w:t xml:space="preserve"> namelijk</w:t>
      </w:r>
      <w:r w:rsidRPr="002A2A0C">
        <w:t xml:space="preserve"> tijdens het huwelijk</w:t>
      </w:r>
      <w:r>
        <w:t xml:space="preserve"> of wettelijke samenwoning</w:t>
      </w:r>
      <w:r w:rsidRPr="002A2A0C">
        <w:t xml:space="preserve"> hun huwelijksvermogensstelsel</w:t>
      </w:r>
      <w:r>
        <w:t xml:space="preserve"> of wettelijke samenwoning</w:t>
      </w:r>
      <w:r w:rsidRPr="002A2A0C">
        <w:t xml:space="preserve"> </w:t>
      </w:r>
      <w:r>
        <w:t xml:space="preserve">wijzigen </w:t>
      </w:r>
      <w:r w:rsidRPr="002A2A0C">
        <w:t>naar goeddunken en zelfs een ander stelsel aannemen.</w:t>
      </w:r>
      <w:r>
        <w:rPr>
          <w:rStyle w:val="Voetnootmarkering"/>
        </w:rPr>
        <w:footnoteReference w:id="218"/>
      </w:r>
    </w:p>
    <w:p w14:paraId="4C63E898" w14:textId="77777777" w:rsidR="00BD18A3" w:rsidRDefault="00BD18A3" w:rsidP="00BD18A3">
      <w:pPr>
        <w:pStyle w:val="Lijstalinea"/>
      </w:pPr>
    </w:p>
    <w:p w14:paraId="2FDEF19A" w14:textId="77777777" w:rsidR="00BD18A3" w:rsidRDefault="00BD18A3" w:rsidP="00BD18A3">
      <w:pPr>
        <w:pStyle w:val="Lijstalinea"/>
        <w:numPr>
          <w:ilvl w:val="0"/>
          <w:numId w:val="26"/>
        </w:numPr>
        <w:ind w:left="0" w:firstLine="0"/>
      </w:pPr>
      <w:r>
        <w:t xml:space="preserve">Echter kunnen de echtgenoten of de wettelijk samenwonenden enkel gezamenlijk wijzigingen aan hun relatievermogensrechtelijke overeenkomst aanbrengen. Zij dienen dus beiden in te stemmen met een wijziging van hun huwelijks- of samenlevingsovereenkomst. Een ander voordeel van de huwelijks- en samenlevingsovereenkomst van bepaalde duur schuilt dus in het feit dat op deze wijze de instemming van beide partners niet meer vereist is om de huwelijks- of samenlevingsovereenkomst te heroverwegen. Het verzekert elk van de echtgenoten of wettelijke samenwonenden dat de huwelijks- of </w:t>
      </w:r>
      <w:r>
        <w:lastRenderedPageBreak/>
        <w:t>samenlevingsovereenkomst heroverwogen zal worden. Dit omwille van de autonome werking van de uitdovende tijdsbepaling.</w:t>
      </w:r>
      <w:r>
        <w:rPr>
          <w:rStyle w:val="Voetnootmarkering"/>
        </w:rPr>
        <w:footnoteReference w:id="219"/>
      </w:r>
      <w:r>
        <w:t xml:space="preserve"> Hierdoor zal de situatie waarbij één van de partners vastzit in een huwelijks- of samenwoningsvermogensstelsel, door het gebrek aan instemming van de andere partner, worden uitgesloten. Dit met de kanttekening dat die partner het niet zwaarwichtig genoeg vindt om hiervoor over te gaan tot ontbinding van het huwelijk of de beëindiging van de wettelijke samenwoning.</w:t>
      </w:r>
    </w:p>
    <w:p w14:paraId="16E76761" w14:textId="77777777" w:rsidR="00BD18A3" w:rsidRDefault="00BD18A3" w:rsidP="00BD18A3">
      <w:pPr>
        <w:pStyle w:val="Lijstalinea"/>
      </w:pPr>
    </w:p>
    <w:p w14:paraId="4675C430" w14:textId="77777777" w:rsidR="00BD18A3" w:rsidRDefault="00BD18A3" w:rsidP="00BD18A3">
      <w:pPr>
        <w:pStyle w:val="Lijstalinea"/>
        <w:numPr>
          <w:ilvl w:val="0"/>
          <w:numId w:val="26"/>
        </w:numPr>
        <w:ind w:left="0" w:firstLine="0"/>
      </w:pPr>
      <w:r>
        <w:t>Voor het opstellen van de vernieuwde huwelijks- of samenlevingsovereenkomst zullen beide partners echter wel terug overeenstemming dienen te vinden.</w:t>
      </w:r>
      <w:r>
        <w:rPr>
          <w:rStyle w:val="Voetnootmarkering"/>
        </w:rPr>
        <w:footnoteReference w:id="220"/>
      </w:r>
      <w:r>
        <w:t xml:space="preserve"> De huwelijks- en samenlevingsovereenkomst van bepaalde duur zal de partners, bij het nakende verstrijken van de tijdsbepaling, dus dwingen om hun huwelijks- of samenlevingsovereenkomst in heroverweging te nemen. Dit kan in het voordeel spelen van de echtgenoot of wettelijk samenwonende die in een economisch afhankelijkere positie verkeert. Op deze wijze is er een grotere </w:t>
      </w:r>
      <w:r w:rsidRPr="006E35FE">
        <w:rPr>
          <w:i/>
          <w:iCs/>
        </w:rPr>
        <w:t>incentive</w:t>
      </w:r>
      <w:r>
        <w:t xml:space="preserve"> om de huwelijks- of samenlevingsovereenkomst te conformeren aan de veranderlijke realiteit, rekening houdend met de economisch kwetsbaardere echtgenoot of wettelijk samenwonende. </w:t>
      </w:r>
    </w:p>
    <w:p w14:paraId="2EF43803" w14:textId="77777777" w:rsidR="00BD18A3" w:rsidRDefault="00BD18A3" w:rsidP="00BD18A3">
      <w:pPr>
        <w:pStyle w:val="Kop2"/>
      </w:pPr>
      <w:bookmarkStart w:id="80" w:name="_Toc167990501"/>
      <w:r>
        <w:t>Hoofdstuk 3. Duurtijd</w:t>
      </w:r>
      <w:bookmarkEnd w:id="80"/>
    </w:p>
    <w:p w14:paraId="6A158502" w14:textId="77777777" w:rsidR="00BD18A3" w:rsidRDefault="00BD18A3" w:rsidP="00BD18A3">
      <w:pPr>
        <w:pStyle w:val="Lijstalinea"/>
        <w:numPr>
          <w:ilvl w:val="0"/>
          <w:numId w:val="26"/>
        </w:numPr>
        <w:ind w:left="0" w:firstLine="0"/>
      </w:pPr>
      <w:r>
        <w:t xml:space="preserve">Aangezien de uitdovende tijdsbepaling bij de huwelijks- of samenlevingsovereenkomst eerder als beschermingsmaatregel van de overheid beschouwd kan worden, lijkt het in dit geval niet wenselijk dat echtgenoten en wettelijk samenwonenden zelf kunnen stipuleren na hoeveel tijd de uitdovende tijdsbepaling </w:t>
      </w:r>
      <w:r w:rsidRPr="006E35FE">
        <w:t>uitwerking krijgt. Dit is fundamenteel anders dan voor de duurtijd van de relatievorm van het huwelijk en de wettelijke samenwoning van bepaalde duur (</w:t>
      </w:r>
      <w:r w:rsidRPr="006E35FE">
        <w:rPr>
          <w:i/>
          <w:iCs/>
        </w:rPr>
        <w:t>supra</w:t>
      </w:r>
      <w:r w:rsidRPr="006E35FE">
        <w:t xml:space="preserve"> randnummer 77 e.v.).</w:t>
      </w:r>
      <w:r>
        <w:t xml:space="preserve"> </w:t>
      </w:r>
    </w:p>
    <w:p w14:paraId="569C8739" w14:textId="77777777" w:rsidR="00BD18A3" w:rsidRDefault="00BD18A3" w:rsidP="00BD18A3">
      <w:pPr>
        <w:pStyle w:val="Lijstalinea"/>
      </w:pPr>
    </w:p>
    <w:p w14:paraId="4DFC8C51" w14:textId="77777777" w:rsidR="00BD18A3" w:rsidRDefault="00BD18A3" w:rsidP="00BD18A3">
      <w:pPr>
        <w:pStyle w:val="Lijstalinea"/>
        <w:numPr>
          <w:ilvl w:val="0"/>
          <w:numId w:val="26"/>
        </w:numPr>
        <w:ind w:left="0" w:firstLine="0"/>
      </w:pPr>
      <w:r>
        <w:t>Omwille hiervan lijkt het dus raadzaam dat de wetgever zou opteren voor een vooraf bepaalde wettelijke voorgeschreven duur. Aanstaande echtgenoten en wettelijk samenwonenden zouden dan in de toekomst hun huwelijks- of samenlevingsovereenkomst enkel nog kunnen afsluiten onder de uitdovende tijdsbepaling. Het zal aan de wetgever zijn om deze tijdsbepaling te determineren. Enerzijds moet er voldoende tijd verstreken zijn zodat de context van het samenleven afdoende gewijzigd is, anderzijds mag er niet dusdanig veel tijd verstreken zijn dat een heroverweging te laat komt. Daarom lijkt een uitdovende tijdsbepaling die uitwerking krijgt na een gedetermineerde periode van ergens tussen de tien jaar en twintig jaar realistisch.</w:t>
      </w:r>
    </w:p>
    <w:p w14:paraId="6C9FEDDE" w14:textId="77777777" w:rsidR="00BD18A3" w:rsidRDefault="00BD18A3" w:rsidP="00BD18A3">
      <w:pPr>
        <w:pStyle w:val="Kop2"/>
      </w:pPr>
      <w:bookmarkStart w:id="81" w:name="_Toc167990502"/>
      <w:r>
        <w:lastRenderedPageBreak/>
        <w:t>Hoofdstuk 4. Vormvereiste</w:t>
      </w:r>
      <w:bookmarkEnd w:id="81"/>
    </w:p>
    <w:p w14:paraId="4E7553CF" w14:textId="77777777" w:rsidR="00BD18A3" w:rsidRPr="002D106A" w:rsidRDefault="00BD18A3" w:rsidP="00BD18A3">
      <w:pPr>
        <w:pStyle w:val="Lijstalinea"/>
        <w:numPr>
          <w:ilvl w:val="0"/>
          <w:numId w:val="26"/>
        </w:numPr>
        <w:ind w:left="0" w:firstLine="0"/>
      </w:pPr>
      <w:r>
        <w:t>Zoals eerder vermeld, laat de bepaalde duur van de huwelijks- of samenlevingsovereenkomst zich vertalen in een uitdovende tijdsbepaling. De uitdovende tijdsbepaling zal worden opgenomen als modaliteit van de huwelijks- of samenlevingsovereenkomst. De uitdovende tijdsbepaling zal dus worden opgenomen binnen de huwelijks- of samenlevingsovereenkomst, dewelke is onderworpen aan de vormvereiste van de notariële akte.</w:t>
      </w:r>
      <w:r>
        <w:rPr>
          <w:rStyle w:val="Voetnootmarkering"/>
        </w:rPr>
        <w:footnoteReference w:id="221"/>
      </w:r>
      <w:r>
        <w:t xml:space="preserve"> Hierdoor kan de notaris zijn informatieplicht vervullen.</w:t>
      </w:r>
      <w:r>
        <w:rPr>
          <w:rStyle w:val="Voetnootmarkering"/>
        </w:rPr>
        <w:footnoteReference w:id="222"/>
      </w:r>
    </w:p>
    <w:p w14:paraId="061D1747" w14:textId="77777777" w:rsidR="00BD18A3" w:rsidRDefault="00BD18A3" w:rsidP="00BD18A3">
      <w:pPr>
        <w:pStyle w:val="Kop2"/>
      </w:pPr>
      <w:bookmarkStart w:id="82" w:name="_Toc167990503"/>
      <w:r>
        <w:t>Hoofdstuk 5. Verlenging en vernieuwing</w:t>
      </w:r>
      <w:bookmarkEnd w:id="82"/>
    </w:p>
    <w:p w14:paraId="2512A190" w14:textId="77777777" w:rsidR="00BD18A3" w:rsidRDefault="00BD18A3" w:rsidP="00BD18A3">
      <w:pPr>
        <w:pStyle w:val="Lijstalinea"/>
        <w:numPr>
          <w:ilvl w:val="0"/>
          <w:numId w:val="26"/>
        </w:numPr>
        <w:ind w:left="0" w:firstLine="0"/>
      </w:pPr>
      <w:r>
        <w:t>Wanneer de huwelijks- en samenlevingsovereenkomst gesloten zijn met een uitdovende tijdsbepaling, zijn dit contracten van bepaalde duur. Huwelijks- en samenlevingsovereenkomsten van bepaald duur kunnen worden verlengd of vernieuwd.</w:t>
      </w:r>
      <w:r>
        <w:rPr>
          <w:rStyle w:val="Voetnootmarkering"/>
        </w:rPr>
        <w:footnoteReference w:id="223"/>
      </w:r>
      <w:r>
        <w:t xml:space="preserve"> </w:t>
      </w:r>
    </w:p>
    <w:p w14:paraId="56CCCF94" w14:textId="77777777" w:rsidR="00BD18A3" w:rsidRDefault="00BD18A3" w:rsidP="00BD18A3">
      <w:pPr>
        <w:pStyle w:val="Lijstalinea"/>
      </w:pPr>
    </w:p>
    <w:p w14:paraId="0A44386F" w14:textId="77777777" w:rsidR="00BD18A3" w:rsidRDefault="00BD18A3" w:rsidP="00BD18A3">
      <w:pPr>
        <w:pStyle w:val="Lijstalinea"/>
        <w:numPr>
          <w:ilvl w:val="0"/>
          <w:numId w:val="26"/>
        </w:numPr>
        <w:ind w:left="0" w:firstLine="0"/>
      </w:pPr>
      <w:r>
        <w:t xml:space="preserve">In de hypothese waarbij echtgenoten en wettelijk samenwonenden hun huwelijks- of samenlevingsovereenkomst onder de loep hebben genomen en hierbij tot de conclusie kwamen dat ze die willen verder zetten op identieke wijze, betreft dit een verlenging of vernieuwing van de huwelijks- of samenlevingsovereenkomst. Een verlenging heeft namelijk enkel </w:t>
      </w:r>
      <w:r w:rsidRPr="00D756CB">
        <w:t>het uitstel van de uitdovende tijdsbepaling van het contract tot gevolg</w:t>
      </w:r>
      <w:r>
        <w:t>, waardoor het contract op identieke wijze wordt verdergezet.</w:t>
      </w:r>
      <w:r>
        <w:rPr>
          <w:rStyle w:val="Voetnootmarkering"/>
        </w:rPr>
        <w:footnoteReference w:id="224"/>
      </w:r>
      <w:r>
        <w:t xml:space="preserve"> Een vernieuwing </w:t>
      </w:r>
      <w:r w:rsidRPr="00D756CB">
        <w:t>doet een nieuw contract ontstaan dat identiek is aan het vorige</w:t>
      </w:r>
      <w:r>
        <w:t>.</w:t>
      </w:r>
      <w:r>
        <w:rPr>
          <w:rStyle w:val="Voetnootmarkering"/>
        </w:rPr>
        <w:footnoteReference w:id="225"/>
      </w:r>
      <w:r>
        <w:t xml:space="preserve"> </w:t>
      </w:r>
    </w:p>
    <w:p w14:paraId="7635C1BA" w14:textId="77777777" w:rsidR="00BD18A3" w:rsidRDefault="00BD18A3" w:rsidP="00BD18A3">
      <w:pPr>
        <w:pStyle w:val="Lijstalinea"/>
      </w:pPr>
    </w:p>
    <w:p w14:paraId="075600BF" w14:textId="77777777" w:rsidR="00BD18A3" w:rsidRDefault="00BD18A3" w:rsidP="00BD18A3">
      <w:pPr>
        <w:pStyle w:val="Lijstalinea"/>
        <w:numPr>
          <w:ilvl w:val="0"/>
          <w:numId w:val="26"/>
        </w:numPr>
        <w:ind w:left="0" w:firstLine="0"/>
      </w:pPr>
      <w:r>
        <w:t>Het onderscheid tussen de verlenging en de vernieuwing situeert zich in het feit dat de verlenging het initiële contract louter verlengd en dat de vernieuwing een nieuw contract doet ontstaan dat identiek is aan het initiële contract.</w:t>
      </w:r>
      <w:r>
        <w:rPr>
          <w:rStyle w:val="Voetnootmarkering"/>
        </w:rPr>
        <w:footnoteReference w:id="226"/>
      </w:r>
    </w:p>
    <w:p w14:paraId="096762C0" w14:textId="77777777" w:rsidR="00BD18A3" w:rsidRDefault="00BD18A3" w:rsidP="00BD18A3">
      <w:pPr>
        <w:pStyle w:val="Kop3"/>
        <w:numPr>
          <w:ilvl w:val="0"/>
          <w:numId w:val="22"/>
        </w:numPr>
      </w:pPr>
      <w:bookmarkStart w:id="83" w:name="_Toc167990504"/>
      <w:r>
        <w:t>Conventionele verlenging</w:t>
      </w:r>
      <w:bookmarkEnd w:id="83"/>
    </w:p>
    <w:p w14:paraId="5E441E8A" w14:textId="77777777" w:rsidR="00BD18A3" w:rsidRPr="00C6146C" w:rsidRDefault="00BD18A3" w:rsidP="00BD18A3">
      <w:pPr>
        <w:pStyle w:val="Lijstalinea"/>
        <w:numPr>
          <w:ilvl w:val="0"/>
          <w:numId w:val="26"/>
        </w:numPr>
        <w:ind w:left="0" w:firstLine="0"/>
        <w:rPr>
          <w:u w:val="double"/>
        </w:rPr>
      </w:pPr>
      <w:r>
        <w:t>Op voorwaarde dat de echtgenoten of wettelijk samenwonenden voor het verstrijken van de uitdovende tijdsbepaling overeenkomen te verlengen, kan de huwelijks- of samenlevingsovereenkomst worden verlengd.</w:t>
      </w:r>
      <w:r>
        <w:rPr>
          <w:rStyle w:val="Voetnootmarkering"/>
        </w:rPr>
        <w:footnoteReference w:id="227"/>
      </w:r>
      <w:r>
        <w:t xml:space="preserve"> Bij de verlenging zal er geen nieuwe huwelijks- of samenlevingsovereenkomst ontstaan, maar zal de initiële overeenkomst worden verlengd. De verlenging heeft namelijk enkel het uitstel van de uitdovende </w:t>
      </w:r>
      <w:r>
        <w:lastRenderedPageBreak/>
        <w:t>tijdsbepaling van de huwelijks- of samenlevingsovereenkomst tot gevolg.</w:t>
      </w:r>
      <w:r>
        <w:rPr>
          <w:rStyle w:val="Voetnootmarkering"/>
        </w:rPr>
        <w:footnoteReference w:id="228"/>
      </w:r>
      <w:r>
        <w:t xml:space="preserve"> In de situatie waarbij de echtgenoten of wettelijke samenwonenden geen inhoudelijke, vermogensrechtelijke wijzingen wensen, zal er voor een verlenging van de huwelijks- of samenlevingsoverenkomst worden geopteerd. Deze verlenging zal zich dan voltrekken door de uitdovende tijdsbepaling uit te stellen voor een nieuwe periode van de wettelijk voorgeschreven </w:t>
      </w:r>
      <w:r w:rsidRPr="004127C3">
        <w:t>duur (</w:t>
      </w:r>
      <w:r w:rsidRPr="004127C3">
        <w:rPr>
          <w:i/>
          <w:iCs/>
        </w:rPr>
        <w:t xml:space="preserve">supra </w:t>
      </w:r>
      <w:r w:rsidRPr="004127C3">
        <w:t>randnummer 167).</w:t>
      </w:r>
    </w:p>
    <w:p w14:paraId="76547636" w14:textId="77777777" w:rsidR="00BD18A3" w:rsidRDefault="00BD18A3" w:rsidP="00BD18A3"/>
    <w:p w14:paraId="2147ECE8" w14:textId="77777777" w:rsidR="00BD18A3" w:rsidRPr="006D0395" w:rsidRDefault="00BD18A3" w:rsidP="00BD18A3">
      <w:pPr>
        <w:pStyle w:val="Lijstalinea"/>
        <w:numPr>
          <w:ilvl w:val="0"/>
          <w:numId w:val="26"/>
        </w:numPr>
        <w:ind w:left="0" w:firstLine="0"/>
      </w:pPr>
      <w:r>
        <w:t>Aangezien de conventionele verlenging een wijziging van de huwelijks- of samenlevingsovereenkomst is, dient dit bij notariële akte te worden vastgesteld.</w:t>
      </w:r>
      <w:r>
        <w:rPr>
          <w:rStyle w:val="Voetnootmarkering"/>
        </w:rPr>
        <w:footnoteReference w:id="229"/>
      </w:r>
      <w:r>
        <w:t xml:space="preserve"> Bij de verlenging van de relatievermogensrechtelijke overeenkomst: de huwelijks- of samenlevingsovereenkomst, lijkt het in tegenstelling tot de verlenging van de relatievorm: het huwelijk of de wettelijke samenwoning niet verstandig te voorzien in een vereenvoudigde procedure (</w:t>
      </w:r>
      <w:r w:rsidRPr="004127C3">
        <w:rPr>
          <w:i/>
        </w:rPr>
        <w:t>supra</w:t>
      </w:r>
      <w:r w:rsidRPr="004127C3">
        <w:rPr>
          <w:iCs/>
        </w:rPr>
        <w:t xml:space="preserve"> randnummer 10</w:t>
      </w:r>
      <w:r>
        <w:rPr>
          <w:iCs/>
        </w:rPr>
        <w:t>7</w:t>
      </w:r>
      <w:r w:rsidRPr="004127C3">
        <w:rPr>
          <w:iCs/>
        </w:rPr>
        <w:t>).</w:t>
      </w:r>
      <w:r>
        <w:t xml:space="preserve"> De notariële akte garandeert immers dat de notaris de echtgenoten of wettelijke samenwonenden kan informeren over de gevolgen van de verlenging, door middel van zijn informatieplicht.</w:t>
      </w:r>
      <w:r>
        <w:rPr>
          <w:rStyle w:val="Voetnootmarkering"/>
        </w:rPr>
        <w:footnoteReference w:id="230"/>
      </w:r>
      <w:r>
        <w:t xml:space="preserve"> De </w:t>
      </w:r>
      <w:r w:rsidRPr="00EF1BF1">
        <w:rPr>
          <w:i/>
        </w:rPr>
        <w:t>ratio legis</w:t>
      </w:r>
      <w:r>
        <w:t xml:space="preserve"> achter de huwelijks- en samenlevingsovereenkomst van bepaalde duur is namelijk net dat echtgenoten geïnformeerd kunnen beslissen over de wijze hoe ze hun </w:t>
      </w:r>
      <w:r w:rsidRPr="00EF1BF1">
        <w:rPr>
          <w:lang w:val="nl-NL"/>
        </w:rPr>
        <w:t xml:space="preserve">relatievermogensrechtelijke overeenkomst </w:t>
      </w:r>
      <w:r>
        <w:t>willen verder zetten.</w:t>
      </w:r>
    </w:p>
    <w:p w14:paraId="5F583A59" w14:textId="77777777" w:rsidR="00BD18A3" w:rsidRDefault="00BD18A3" w:rsidP="00BD18A3">
      <w:pPr>
        <w:pStyle w:val="Kop3"/>
        <w:numPr>
          <w:ilvl w:val="0"/>
          <w:numId w:val="22"/>
        </w:numPr>
      </w:pPr>
      <w:bookmarkStart w:id="84" w:name="_Toc167990505"/>
      <w:r>
        <w:t>Vernieuwing</w:t>
      </w:r>
      <w:bookmarkEnd w:id="84"/>
    </w:p>
    <w:p w14:paraId="56C35FC4" w14:textId="77777777" w:rsidR="00BD18A3" w:rsidRDefault="00BD18A3" w:rsidP="00BD18A3">
      <w:pPr>
        <w:pStyle w:val="Lijstalinea"/>
        <w:numPr>
          <w:ilvl w:val="0"/>
          <w:numId w:val="26"/>
        </w:numPr>
        <w:ind w:left="0" w:firstLine="0"/>
      </w:pPr>
      <w:r>
        <w:t>Aangezien de huwelijks- en samenlevingsovereenkomst met uitdovende tijdsbepaling contracten van bepaalde duur zijn, kunnen deze worden</w:t>
      </w:r>
      <w:r w:rsidRPr="00513675">
        <w:t xml:space="preserve"> vernieuwd op grond van de wet of door akkoord van de partijen.</w:t>
      </w:r>
      <w:r>
        <w:rPr>
          <w:rStyle w:val="Voetnootmarkering"/>
        </w:rPr>
        <w:footnoteReference w:id="231"/>
      </w:r>
      <w:r>
        <w:t xml:space="preserve"> Bij de vernieuwing van de huwelijks- of samenlevingsovereenkomst zal er, in tegenstelling tot de verlenging, een nieuw c</w:t>
      </w:r>
      <w:r w:rsidRPr="00142425">
        <w:t>ontract ontstaan</w:t>
      </w:r>
      <w:r>
        <w:t>. Dit contract is identiek aan het vorige.</w:t>
      </w:r>
      <w:r>
        <w:rPr>
          <w:rStyle w:val="Voetnootmarkering"/>
        </w:rPr>
        <w:footnoteReference w:id="232"/>
      </w:r>
      <w:r>
        <w:t xml:space="preserve"> </w:t>
      </w:r>
    </w:p>
    <w:p w14:paraId="203DD093" w14:textId="77777777" w:rsidR="00BD18A3" w:rsidRDefault="00BD18A3" w:rsidP="00BD18A3">
      <w:pPr>
        <w:pStyle w:val="Kop4"/>
        <w:numPr>
          <w:ilvl w:val="0"/>
          <w:numId w:val="23"/>
        </w:numPr>
      </w:pPr>
      <w:bookmarkStart w:id="85" w:name="_Toc167990506"/>
      <w:r w:rsidRPr="00142425">
        <w:t>Uitdrukkelijk</w:t>
      </w:r>
      <w:r>
        <w:t>e</w:t>
      </w:r>
      <w:r w:rsidRPr="00142425">
        <w:t xml:space="preserve"> vernieuwing</w:t>
      </w:r>
      <w:bookmarkEnd w:id="85"/>
    </w:p>
    <w:p w14:paraId="7E77603B" w14:textId="77777777" w:rsidR="00BD18A3" w:rsidRDefault="00BD18A3" w:rsidP="00BD18A3">
      <w:pPr>
        <w:pStyle w:val="Lijstalinea"/>
        <w:numPr>
          <w:ilvl w:val="0"/>
          <w:numId w:val="26"/>
        </w:numPr>
        <w:ind w:left="0" w:firstLine="0"/>
      </w:pPr>
      <w:r>
        <w:t>Aangezien de huwelijks- en samenlevingsovereenkomst onder uitdovende tijdsbepaling contracten van bepaalde duur zijn, kunnen deze worden</w:t>
      </w:r>
      <w:r w:rsidRPr="00513675">
        <w:t xml:space="preserve"> vernieuwd door akkoord van de partijen.</w:t>
      </w:r>
      <w:r>
        <w:rPr>
          <w:rStyle w:val="Voetnootmarkering"/>
        </w:rPr>
        <w:footnoteReference w:id="233"/>
      </w:r>
      <w:r>
        <w:t xml:space="preserve"> Echtgenoten en wettelijk samenwonenden kunnen dus hun huwelijks- of samenlevingsovereenkomst vernieuwen. Bij de vernieuwing zal er een nieuwe huwelijks- of samenlevingsovereenkomst ontstaan dat identiek is aan de vorige. De uitdrukkelijke vernieuwing van de huwelijks- of samenlevingsovereenkomst zal zich dus </w:t>
      </w:r>
      <w:r>
        <w:lastRenderedPageBreak/>
        <w:t xml:space="preserve">manifesteren in het geval de echtgenoten of wettelijk samenwonenden besluiten, na deliberatie van hun huidige situatie, geen </w:t>
      </w:r>
      <w:r w:rsidRPr="000906D7">
        <w:rPr>
          <w:lang w:val="nl-NL"/>
        </w:rPr>
        <w:t>relatievermogensrechtelijke</w:t>
      </w:r>
      <w:r>
        <w:t xml:space="preserve"> wijzigingen door te voeren.</w:t>
      </w:r>
    </w:p>
    <w:p w14:paraId="44B3A68D" w14:textId="77777777" w:rsidR="00BD18A3" w:rsidRDefault="00BD18A3" w:rsidP="00BD18A3">
      <w:pPr>
        <w:pStyle w:val="Lijstalinea"/>
      </w:pPr>
    </w:p>
    <w:p w14:paraId="3B095773" w14:textId="77777777" w:rsidR="00BD18A3" w:rsidRPr="00E846DE" w:rsidRDefault="00BD18A3" w:rsidP="00BD18A3">
      <w:pPr>
        <w:pStyle w:val="Lijstalinea"/>
        <w:numPr>
          <w:ilvl w:val="0"/>
          <w:numId w:val="26"/>
        </w:numPr>
        <w:ind w:left="0" w:firstLine="0"/>
      </w:pPr>
      <w:r>
        <w:t>Omdat de uitdrukkelijke vernieuwing een nieuwe huwelijks- of samenlevingsovereenkomst doet ontstaan, is de vernieuwing onderworpen aan de notariële vormvereiste.</w:t>
      </w:r>
      <w:r>
        <w:rPr>
          <w:rStyle w:val="Voetnootmarkering"/>
        </w:rPr>
        <w:footnoteReference w:id="234"/>
      </w:r>
      <w:r>
        <w:t xml:space="preserve"> Net zoals bij de conventionele verlenging van de huwelijks- of samenlevingsovereenkomst lijkt een vereenvoudigde </w:t>
      </w:r>
      <w:r w:rsidRPr="00FC4B6B">
        <w:t>procedure niet geraden, omwille van de prominente rol die de notaris bij de vernieuwing speelt (</w:t>
      </w:r>
      <w:r w:rsidRPr="00FC4B6B">
        <w:rPr>
          <w:i/>
        </w:rPr>
        <w:t xml:space="preserve">supra </w:t>
      </w:r>
      <w:r w:rsidRPr="00FC4B6B">
        <w:t>randnummer 173).</w:t>
      </w:r>
    </w:p>
    <w:p w14:paraId="706CA3A7" w14:textId="77777777" w:rsidR="00BD18A3" w:rsidRDefault="00BD18A3" w:rsidP="00BD18A3">
      <w:pPr>
        <w:pStyle w:val="Kop4"/>
        <w:numPr>
          <w:ilvl w:val="0"/>
          <w:numId w:val="23"/>
        </w:numPr>
      </w:pPr>
      <w:bookmarkStart w:id="86" w:name="_Toc167990507"/>
      <w:r>
        <w:t>Geen stilzwijgende vernieuwing</w:t>
      </w:r>
      <w:bookmarkEnd w:id="86"/>
    </w:p>
    <w:p w14:paraId="12CF2572" w14:textId="77777777" w:rsidR="00BD18A3" w:rsidRDefault="00BD18A3" w:rsidP="00BD18A3">
      <w:pPr>
        <w:pStyle w:val="Lijstalinea"/>
        <w:numPr>
          <w:ilvl w:val="0"/>
          <w:numId w:val="26"/>
        </w:numPr>
        <w:ind w:left="0" w:firstLine="0"/>
      </w:pPr>
      <w:r>
        <w:t>Zoals eerder aangehaald zijn huwelijks- en samenlevingsovereenkomsten onder uitdovende tijdsbepaling contracten van bepaalde duur. In beginsel kunnen deze contracten stilzwijgend worden vernieuwd op voorwaarde dat een partij haar verplichtingen verder blijft uitvoeren, zonder verzet van de andere partij bij het verstrijken van de uitdovende tijdsbepaling.</w:t>
      </w:r>
      <w:r>
        <w:rPr>
          <w:rStyle w:val="Voetnootmarkering"/>
        </w:rPr>
        <w:footnoteReference w:id="235"/>
      </w:r>
      <w:r>
        <w:t xml:space="preserve"> </w:t>
      </w:r>
    </w:p>
    <w:p w14:paraId="2FDC4FEC" w14:textId="77777777" w:rsidR="00BD18A3" w:rsidRDefault="00BD18A3" w:rsidP="00BD18A3">
      <w:pPr>
        <w:pStyle w:val="Lijstalinea"/>
      </w:pPr>
    </w:p>
    <w:p w14:paraId="31F2CB7B" w14:textId="77777777" w:rsidR="00BD18A3" w:rsidRDefault="00BD18A3" w:rsidP="00BD18A3">
      <w:pPr>
        <w:pStyle w:val="Lijstalinea"/>
        <w:numPr>
          <w:ilvl w:val="0"/>
          <w:numId w:val="26"/>
        </w:numPr>
        <w:ind w:left="0" w:firstLine="0"/>
      </w:pPr>
      <w:r>
        <w:t xml:space="preserve">Echter lijkt een stilzwijgende vernieuwing van de huwelijks- of samenlevingsovereenkomst niet wenselijk. Wanneer de huwelijks- of samenlevingsovereenkomst stilzwijgend zou worden vernieuwd, is er geen enkele </w:t>
      </w:r>
      <w:r w:rsidRPr="00F67933">
        <w:rPr>
          <w:i/>
          <w:iCs/>
        </w:rPr>
        <w:t>incentive</w:t>
      </w:r>
      <w:r>
        <w:t xml:space="preserve"> meer om de </w:t>
      </w:r>
      <w:r w:rsidRPr="00F67933">
        <w:rPr>
          <w:lang w:val="nl-NL"/>
        </w:rPr>
        <w:t xml:space="preserve">relatievermogensrechtelijke overeenkomst </w:t>
      </w:r>
      <w:r>
        <w:t xml:space="preserve">actief te heroverwegen. Een stilzwijgende vernieuwing van de huwelijks- of samenlevingsovereenkomst staat haaks op de </w:t>
      </w:r>
      <w:r w:rsidRPr="00F67933">
        <w:rPr>
          <w:i/>
          <w:iCs/>
        </w:rPr>
        <w:t xml:space="preserve">ratio legis </w:t>
      </w:r>
      <w:r>
        <w:t xml:space="preserve">achter de huwelijks- en samenlevingsovereenkomst van bepaalde duur. Bijgevolg dient de wetgever de stilzwijgende vernieuwing van de huwelijks- en samenlevingsovereenkomst uit te sluiten. </w:t>
      </w:r>
    </w:p>
    <w:p w14:paraId="4A74F0BE" w14:textId="77777777" w:rsidR="00BD18A3" w:rsidRDefault="00BD18A3" w:rsidP="00BD18A3">
      <w:pPr>
        <w:pStyle w:val="Kop2"/>
      </w:pPr>
      <w:bookmarkStart w:id="87" w:name="_Toc167990508"/>
      <w:r>
        <w:t>Hoofdstuk 6. Wijziging</w:t>
      </w:r>
      <w:bookmarkEnd w:id="87"/>
    </w:p>
    <w:p w14:paraId="034498AC" w14:textId="77777777" w:rsidR="00BD18A3" w:rsidRDefault="00BD18A3" w:rsidP="00BD18A3">
      <w:pPr>
        <w:pStyle w:val="Lijstalinea"/>
        <w:numPr>
          <w:ilvl w:val="0"/>
          <w:numId w:val="26"/>
        </w:numPr>
        <w:ind w:left="0" w:firstLine="0"/>
      </w:pPr>
      <w:r>
        <w:t xml:space="preserve">In de situatie waarbij de echtgenoten of wettelijke samenwonenden hun huwelijks- of samenlevingsovereenkomst wensen te heroverwegen, wanneer ze inhoudelijke wijzigingen willen doorvoeren, is er sprake van een wijziging van de huwelijks- of samenlevingsovereenkomst. Hierbij kunnen de echtgenoten of wettelijk samenwonenden hun vermogensrechtelijke situatie anders vormgeven. Dit door bijvoorbeeld bepaalde goederen in te brengen in de huwelijksgemeenschap, bepaalde clausules op te nemen of zelfs een wijziging van huwelijks- of samenwoningsvermogensstelsel door te voeren. Op deze wijze conformeren echtgenoten en wettelijk samenwonenden hun huwelijks- of </w:t>
      </w:r>
      <w:r>
        <w:lastRenderedPageBreak/>
        <w:t>samenlevingsovereenkomst aan de vermogensrechtelijke regeling die het best aansluit op de realiteit van vandaag met het oog op morgen.</w:t>
      </w:r>
    </w:p>
    <w:p w14:paraId="79A1A452" w14:textId="77777777" w:rsidR="00BD18A3" w:rsidRDefault="00BD18A3" w:rsidP="00BD18A3"/>
    <w:p w14:paraId="4929D394" w14:textId="77777777" w:rsidR="00BD18A3" w:rsidRDefault="00BD18A3" w:rsidP="00BD18A3">
      <w:pPr>
        <w:pStyle w:val="Lijstalinea"/>
        <w:numPr>
          <w:ilvl w:val="0"/>
          <w:numId w:val="26"/>
        </w:numPr>
        <w:ind w:left="0" w:firstLine="0"/>
      </w:pPr>
      <w:r>
        <w:t>Dergelijke wijziging van de huwelijks- of samenlevingsovereenkomst loopt volledig gelijk met de reeds bestaande praktijk van het wijzigen van de huwelijks- of samenlevingsovereenkomst. De wijziging wordt bijgevolg ook bij notariële akte verleden.</w:t>
      </w:r>
      <w:r>
        <w:rPr>
          <w:rStyle w:val="Voetnootmarkering"/>
        </w:rPr>
        <w:footnoteReference w:id="236"/>
      </w:r>
      <w:r>
        <w:t xml:space="preserve"> De wijziging wordt opnieuw gekoppeld aan een uitdovende tijdsbepaling voor een nieuwe periode van de wettelijk voorgeschreven duur </w:t>
      </w:r>
      <w:r w:rsidRPr="0064721E">
        <w:t>(</w:t>
      </w:r>
      <w:r w:rsidRPr="0064721E">
        <w:rPr>
          <w:i/>
          <w:iCs/>
        </w:rPr>
        <w:t xml:space="preserve">supra </w:t>
      </w:r>
      <w:r w:rsidRPr="0064721E">
        <w:t>randnummer 167).</w:t>
      </w:r>
    </w:p>
    <w:p w14:paraId="64A6B3FF" w14:textId="77777777" w:rsidR="00BD18A3" w:rsidRDefault="00BD18A3" w:rsidP="00BD18A3">
      <w:pPr>
        <w:pStyle w:val="Kop2"/>
      </w:pPr>
      <w:bookmarkStart w:id="88" w:name="_Toc167990509"/>
      <w:r>
        <w:t>Hoofdstuk 7. Opeenvolgende relatievermogensrechtelijke overeenkomsten van bepaalde duur</w:t>
      </w:r>
      <w:bookmarkEnd w:id="88"/>
    </w:p>
    <w:p w14:paraId="6A5438AB" w14:textId="77777777" w:rsidR="00BD18A3" w:rsidRPr="00DA41FE" w:rsidRDefault="00BD18A3" w:rsidP="00BD18A3">
      <w:pPr>
        <w:pStyle w:val="Lijstalinea"/>
        <w:numPr>
          <w:ilvl w:val="0"/>
          <w:numId w:val="26"/>
        </w:numPr>
        <w:ind w:left="0" w:firstLine="0"/>
      </w:pPr>
      <w:r>
        <w:t xml:space="preserve">Het concept van een beperking op het aantal opeenvolgende relatievormen van bepaalde duur, dat naar voor kan worden geschoven bij het huwelijk en de wettelijke samenwoning van bepaalde </w:t>
      </w:r>
      <w:r w:rsidRPr="002C4B3A">
        <w:t>duur (</w:t>
      </w:r>
      <w:r w:rsidRPr="002C4B3A">
        <w:rPr>
          <w:i/>
          <w:iCs/>
        </w:rPr>
        <w:t>supra</w:t>
      </w:r>
      <w:r w:rsidRPr="002C4B3A">
        <w:t xml:space="preserve"> randnummer 129 e.v.),</w:t>
      </w:r>
      <w:r>
        <w:t xml:space="preserve"> lijkt niet opportuun voor de huwelijks- en samenlevingsovereenkomsten van bepaalde duur. Het systeem waardoor de relatievermogensrechtelijke overeenkomst wordt geacht zijn aangegaan voor onbepaalde duur, bij het overschrijden van het maximale aantal opeenvolgende relatievermogensrechtelijke overeenkomst van bepaalde duur, is niet verzoenbaar met de </w:t>
      </w:r>
      <w:r w:rsidRPr="00A05BAE">
        <w:rPr>
          <w:i/>
          <w:iCs/>
        </w:rPr>
        <w:t xml:space="preserve">ratio legis </w:t>
      </w:r>
      <w:r>
        <w:t xml:space="preserve">achter de huwelijks- en samenlevingsovereenkomst van bepaalde duur. Wanneer de huwelijks- of samenlevingsovereenkomst van rechtswege wordt geacht van onbepaalde duur te zijn aangegaan, vervalt elke </w:t>
      </w:r>
      <w:r w:rsidRPr="00A05BAE">
        <w:rPr>
          <w:i/>
          <w:iCs/>
        </w:rPr>
        <w:t xml:space="preserve">incentive </w:t>
      </w:r>
      <w:r>
        <w:t xml:space="preserve">om de </w:t>
      </w:r>
      <w:r w:rsidRPr="00A05BAE">
        <w:rPr>
          <w:lang w:val="nl-NL"/>
        </w:rPr>
        <w:t xml:space="preserve">relatievermogensrechtelijke overeenkomsten </w:t>
      </w:r>
      <w:r>
        <w:t xml:space="preserve">actief te heroverwegen. Een beperking op het aantal opeenvolgende relatievermogensrechtelijke overeenkomsten van bepaalde duur staat haaks op de </w:t>
      </w:r>
      <w:r w:rsidRPr="00A05BAE">
        <w:rPr>
          <w:i/>
          <w:iCs/>
        </w:rPr>
        <w:t xml:space="preserve">ratio legis </w:t>
      </w:r>
      <w:r>
        <w:t>achter de huwelijks- of samenlevingsovereenkomst van bepaalde duur. Hierdoor wordt er, in tegenstelling tot het huwelijk en de wettelijke samenwoning van bepaalde duur, voor de huwelijks- of samenlevingsovereenkomst van bepaalde duur niet voorzien in een beperking op het aantal opeenvolgende relatievermogensrechtelijke overeenkomsten van bepaalde duur.</w:t>
      </w:r>
    </w:p>
    <w:p w14:paraId="3C0EDBB4" w14:textId="77777777" w:rsidR="00BD18A3" w:rsidRPr="00801E65" w:rsidRDefault="00BD18A3" w:rsidP="00BD18A3"/>
    <w:p w14:paraId="210F4B3B" w14:textId="77777777" w:rsidR="00BD18A3" w:rsidRPr="0088518D" w:rsidRDefault="00BD18A3" w:rsidP="00BD18A3">
      <w:pPr>
        <w:pStyle w:val="Lijstalinea"/>
        <w:numPr>
          <w:ilvl w:val="0"/>
          <w:numId w:val="26"/>
        </w:numPr>
        <w:ind w:left="0" w:firstLine="0"/>
      </w:pPr>
      <w:r>
        <w:t xml:space="preserve">Dit is onderscheid is legitiem, aangezien de </w:t>
      </w:r>
      <w:r w:rsidRPr="00373896">
        <w:rPr>
          <w:i/>
          <w:iCs/>
        </w:rPr>
        <w:t>ratio legis</w:t>
      </w:r>
      <w:r>
        <w:t xml:space="preserve"> van de huwelijks- en samenlevingsovereenkomst van bepaalde duur verschillend is aan die van het huwelijk en de wettelijke samenwoning van bepaalde duur. Het gaat over het creëren van een beschermingsmechanisme bij de relatievermogensrechtelijke overeenkomst van bepaalde duur tegenover het bevorderen van de beschikkingsvrijheid bij de relatievormen van bepaalde duur.</w:t>
      </w:r>
    </w:p>
    <w:p w14:paraId="62C5CACF" w14:textId="77777777" w:rsidR="00BD18A3" w:rsidRDefault="00BD18A3" w:rsidP="00BD18A3">
      <w:pPr>
        <w:pStyle w:val="Kop2"/>
      </w:pPr>
      <w:bookmarkStart w:id="89" w:name="_Toc167990510"/>
      <w:r>
        <w:lastRenderedPageBreak/>
        <w:t>Hoofdstuk 8. Beëindiging</w:t>
      </w:r>
      <w:bookmarkEnd w:id="89"/>
    </w:p>
    <w:p w14:paraId="59023FC3" w14:textId="77777777" w:rsidR="00BD18A3" w:rsidRDefault="00BD18A3" w:rsidP="00BD18A3">
      <w:pPr>
        <w:pStyle w:val="Lijstalinea"/>
        <w:numPr>
          <w:ilvl w:val="0"/>
          <w:numId w:val="26"/>
        </w:numPr>
        <w:ind w:left="0" w:firstLine="0"/>
      </w:pPr>
      <w:r>
        <w:t>Het gevolg van het manifest weigeren van verlenging, vernieuwing of wijziging van de huwelijks- of samenlevingsovereenkomst is dat de uitdovende tijdsbepaling uitwerking zal krijgen en bijgevolg de huwelijks- of samenlevingsovereenkomst teniet gaat.</w:t>
      </w:r>
      <w:r>
        <w:rPr>
          <w:rStyle w:val="Voetnootmarkering"/>
        </w:rPr>
        <w:footnoteReference w:id="237"/>
      </w:r>
      <w:r>
        <w:t xml:space="preserve"> De huwelijks- of samenlevingsovereenkomst zal beëindigd worden. Hierdoor treedt het wettelijk stelsel in voegen op het respectievelijke huwelijk en de wettelijke samenwoning. Aangezien dit aanzienlijke gevolgen kan hebben tussen partners kan deze “sanctie” gezien worden als hefboom om echtgenoten en wettelijk samenwonenden te dwingen hun huwelijks- of samenlevingsovereenkomst te herbekijken.</w:t>
      </w:r>
    </w:p>
    <w:p w14:paraId="46551081" w14:textId="77777777" w:rsidR="00BD18A3" w:rsidRDefault="00BD18A3" w:rsidP="00BD18A3">
      <w:pPr>
        <w:pStyle w:val="Lijstalinea"/>
      </w:pPr>
    </w:p>
    <w:p w14:paraId="4866F795" w14:textId="77777777" w:rsidR="00BD18A3" w:rsidRPr="00766A27" w:rsidRDefault="00BD18A3" w:rsidP="00BD18A3">
      <w:pPr>
        <w:pStyle w:val="Lijstalinea"/>
        <w:numPr>
          <w:ilvl w:val="0"/>
          <w:numId w:val="26"/>
        </w:numPr>
        <w:ind w:left="0" w:firstLine="0"/>
      </w:pPr>
      <w:r>
        <w:t xml:space="preserve">De overgang naar het wettelijk stelsel kan een wijziging van het huwelijks- of samenwoningsvermogensstelsel impliceren. Indien </w:t>
      </w:r>
      <w:r w:rsidRPr="006C38AC">
        <w:t>de wijziging van het huwelijksvermogensstelsel de vereffening van het vorige stelsel tot gevolg heeft</w:t>
      </w:r>
      <w:r>
        <w:t xml:space="preserve">, zal er voorafgaand een </w:t>
      </w:r>
      <w:r w:rsidRPr="006C38AC">
        <w:t>boedelbeschrijving van alle roerende en onroerende goederen en van de schulden van de echtgenoten</w:t>
      </w:r>
      <w:r>
        <w:t xml:space="preserve"> moeten worden opgemaakt. Deze boedelbeschrijving zal worden vastgesteld bij notariële akte.</w:t>
      </w:r>
      <w:r>
        <w:rPr>
          <w:rStyle w:val="Voetnootmarkering"/>
        </w:rPr>
        <w:footnoteReference w:id="238"/>
      </w:r>
      <w:r>
        <w:t xml:space="preserve"> In het geval dat de </w:t>
      </w:r>
      <w:r w:rsidRPr="006C38AC">
        <w:t>wijziging van het huwelijks</w:t>
      </w:r>
      <w:r>
        <w:t>s</w:t>
      </w:r>
      <w:r w:rsidRPr="006C38AC">
        <w:t>vermogensstelsel</w:t>
      </w:r>
      <w:r>
        <w:t xml:space="preserve"> niet leidt tot een vereffening, zal er enkel een voorafgaande boedelbeschrijving worden opgemaakt op verzoek van één van de echtgenoten. </w:t>
      </w:r>
      <w:r w:rsidRPr="002C3709">
        <w:t>In dat geval kan de boedelbeschrijving worden opgemaakt op grond van verklaringen, voor zover beide echtgenoten hiermee akkoord gaan.</w:t>
      </w:r>
      <w:r>
        <w:rPr>
          <w:rStyle w:val="Voetnootmarkering"/>
        </w:rPr>
        <w:footnoteReference w:id="239"/>
      </w:r>
      <w:r>
        <w:br w:type="page"/>
      </w:r>
    </w:p>
    <w:p w14:paraId="3134FD5A" w14:textId="77777777" w:rsidR="00BD18A3" w:rsidRDefault="00BD18A3" w:rsidP="00BD18A3">
      <w:pPr>
        <w:pStyle w:val="Kop1"/>
      </w:pPr>
      <w:bookmarkStart w:id="90" w:name="_Toc167990511"/>
      <w:r>
        <w:lastRenderedPageBreak/>
        <w:t>DEEL IV. Combinatie van relatievormen en relatievermogensrechtelijke overeenkomsten</w:t>
      </w:r>
      <w:bookmarkEnd w:id="90"/>
    </w:p>
    <w:p w14:paraId="58E82096" w14:textId="77777777" w:rsidR="00BD18A3" w:rsidRDefault="00BD18A3" w:rsidP="00BD18A3">
      <w:pPr>
        <w:pStyle w:val="Lijstalinea"/>
        <w:numPr>
          <w:ilvl w:val="0"/>
          <w:numId w:val="26"/>
        </w:numPr>
        <w:ind w:left="0" w:firstLine="0"/>
      </w:pPr>
      <w:r>
        <w:t xml:space="preserve">Het vorige deel speelde zich af op het niveau van de relatievermogensrechtelijke overeenkomst. Het besprak de mogelijkheid om de huwelijks- en samenlevingsovereenkomst van bepaalde duur te creëren. Het deel daarvoor onderzocht de piste van de relatievormen van bepaalde duur: het huwelijk en de wettelijke samenwoning van bepaalde duur. Indien deze twee mogelijkheden op een dag effectief tot het positiefrechtelijk kader zouden behoren, ontstaan er verschillende scenario’s waarin relatievormen en </w:t>
      </w:r>
      <w:r w:rsidRPr="00122DE6">
        <w:rPr>
          <w:lang w:val="nl-NL"/>
        </w:rPr>
        <w:t xml:space="preserve">relatievermogensrechtelijke overeenkomsten </w:t>
      </w:r>
      <w:r>
        <w:t xml:space="preserve">van bepaalde en onbepaalde duur gecombineerd kunnen worden. Binnen dit hoofdstuk worden de verschillende hypotheses van de combinatie van relatievormen en </w:t>
      </w:r>
      <w:r w:rsidRPr="00122DE6">
        <w:rPr>
          <w:lang w:val="nl-NL"/>
        </w:rPr>
        <w:t>relatievermogensrechtelijke overeenkomsten</w:t>
      </w:r>
      <w:r>
        <w:t xml:space="preserve"> van bepaalde en onbepaalde duur toegelicht.</w:t>
      </w:r>
    </w:p>
    <w:p w14:paraId="5C3711DA" w14:textId="77777777" w:rsidR="00BD18A3" w:rsidRPr="007A73DD" w:rsidRDefault="00BD18A3" w:rsidP="00BD18A3">
      <w:pPr>
        <w:pStyle w:val="Lijstalinea"/>
      </w:pPr>
      <w:r>
        <w:t xml:space="preserve">Zo wordt het geheel </w:t>
      </w:r>
      <w:r w:rsidRPr="007A73DD">
        <w:rPr>
          <w:lang w:val="nl-NL"/>
        </w:rPr>
        <w:t>aan partnerrelaties van (on)bepaalde duur besproken.</w:t>
      </w:r>
    </w:p>
    <w:p w14:paraId="47B4BF99" w14:textId="77777777" w:rsidR="00BD18A3" w:rsidRDefault="00BD18A3" w:rsidP="00BD18A3">
      <w:pPr>
        <w:pStyle w:val="Kop2"/>
      </w:pPr>
      <w:bookmarkStart w:id="91" w:name="_Toc167990512"/>
      <w:r>
        <w:t>Hoofdstuk 1. Onbepaalde duur relatievorm en onbepaalde duur relatievermogensrechtelijke overeenkomst</w:t>
      </w:r>
      <w:bookmarkEnd w:id="91"/>
    </w:p>
    <w:p w14:paraId="7C271D88" w14:textId="77777777" w:rsidR="00BD18A3" w:rsidRPr="009B0F9A" w:rsidRDefault="00BD18A3" w:rsidP="00BD18A3">
      <w:pPr>
        <w:pStyle w:val="Lijstalinea"/>
        <w:numPr>
          <w:ilvl w:val="0"/>
          <w:numId w:val="26"/>
        </w:numPr>
        <w:ind w:left="0" w:firstLine="0"/>
      </w:pPr>
      <w:r>
        <w:t xml:space="preserve">De eerste hypothese betreft de stituatie waarbij het huwelijk of de wettelijke samenwoning van onbepaalde duur is en hieraan respectievelijk een huwelijks- of samenlevingsovereenkomst wordt gekoppeld die ook van onbepaalde duur is. Zowel het huwelijk of de wettelijke samenwoning, als de huwelijks- of samenlevingsovereenkomst zijn niet onderworpen aan een uitdovende tijdsbepaling. Dit scenario betreft dus het hedendaags positiefrechtelijk scenario waarbij de relatievorm en de </w:t>
      </w:r>
      <w:r w:rsidRPr="00BA2E58">
        <w:rPr>
          <w:lang w:val="nl-NL"/>
        </w:rPr>
        <w:t xml:space="preserve">relatievermogensrechtelijke overeenkomst </w:t>
      </w:r>
      <w:r>
        <w:t xml:space="preserve">beide van onbepaalde duur zijn. Het betreft de situatie van vandaag waarbij partners huwen of wettelijk samenwonen en hieraan een huwelijks- of samenlevingsovereenkomst bedingen. </w:t>
      </w:r>
    </w:p>
    <w:p w14:paraId="03A4D927" w14:textId="77777777" w:rsidR="00BD18A3" w:rsidRDefault="00BD18A3" w:rsidP="00BD18A3">
      <w:pPr>
        <w:pStyle w:val="Kop2"/>
      </w:pPr>
      <w:bookmarkStart w:id="92" w:name="_Toc167990513"/>
      <w:r>
        <w:t>Hoofdstuk 2. Bepaalde duur relatievorm en bepaalde duur relatievermogensrechtelijke overeenkomst</w:t>
      </w:r>
      <w:bookmarkEnd w:id="92"/>
    </w:p>
    <w:p w14:paraId="662B72A0" w14:textId="77777777" w:rsidR="00BD18A3" w:rsidRPr="00FB354E" w:rsidRDefault="00BD18A3" w:rsidP="00BD18A3">
      <w:pPr>
        <w:pStyle w:val="Lijstalinea"/>
        <w:numPr>
          <w:ilvl w:val="0"/>
          <w:numId w:val="26"/>
        </w:numPr>
        <w:ind w:left="0" w:firstLine="0"/>
      </w:pPr>
      <w:r>
        <w:t xml:space="preserve">De tweede hypothese belicht de situatie waarbij zowel het huwelijk of de wettelijke samenwoning als de huwelijks- of samenlevingsovereenkomst voor bepaalde duur zijn aangegaan. Het huwelijk of de wettelijke samenwoning is gekoppeld aan een uitdovende tijdsbepaling, net als de huwelijks- of samenlevingsovereenkomst onderworpen is aan een uitdovende tijdsbepaling. Partners opteren in dit geval voor een relatievorm van bepaalde duur, gekoppeld aan een relatievermogensrechtelijke overeenkomst van bepaalde duur. Dit scenario kan enkel uitwerking krijgen in de hypothese dat zowel de relatievorm van bepaalde duur als de </w:t>
      </w:r>
      <w:r w:rsidRPr="00765B9A">
        <w:rPr>
          <w:lang w:val="nl-NL"/>
        </w:rPr>
        <w:t xml:space="preserve">relatievermogensrechtelijke overeenkomst </w:t>
      </w:r>
      <w:r>
        <w:t>van bepaalde duur, zoals onderzocht in deze masterthesis, gevolg krijgen binnen het Belgisch recht.</w:t>
      </w:r>
    </w:p>
    <w:p w14:paraId="2BD94C94" w14:textId="77777777" w:rsidR="00BD18A3" w:rsidRDefault="00BD18A3" w:rsidP="00BD18A3">
      <w:pPr>
        <w:pStyle w:val="Kop2"/>
      </w:pPr>
      <w:bookmarkStart w:id="93" w:name="_Toc167990514"/>
      <w:r>
        <w:lastRenderedPageBreak/>
        <w:t>Hoofdstuk 3. Onbepaalde duur relatievorm en bepaalde duur relatievermogensrechtelijke overeenkomst</w:t>
      </w:r>
      <w:bookmarkEnd w:id="93"/>
    </w:p>
    <w:p w14:paraId="4A5B852F" w14:textId="77777777" w:rsidR="00BD18A3" w:rsidRPr="001820C0" w:rsidRDefault="00BD18A3" w:rsidP="00BD18A3">
      <w:pPr>
        <w:pStyle w:val="Lijstalinea"/>
        <w:numPr>
          <w:ilvl w:val="0"/>
          <w:numId w:val="26"/>
        </w:numPr>
        <w:ind w:left="0" w:firstLine="0"/>
      </w:pPr>
      <w:r>
        <w:t xml:space="preserve">De derde hypothese neemt de situatie onder de loep waarbij het huwelijk of de wettelijke samenwoning voor onbepaalde duur is aangegaan, terwijl de respectievelijke huwelijks- of samenlevingsovereenkomst voor bepaalde duur is. De huwelijks- of samenlevingsovereenkomst is in dit geval, in tegenstelling tot het huwelijk of de wettelijke samenwoning, onderworpen aan een uitdovende tijdsbepaling. Dergelijk scenario zou zich kunnen afspelen in het geval de relatievermogensrechtelijke overeenkomst van bepaalde duur wel legislatief wordt vertaald, maar het huwelijk en de wettelijke samenwoning van bepaalde duur geen gevolg krijgt binnen het Belgisch recht. Een andere mogelijkheid waardoor dit scenario zich zou voordoen, is het geval waarbij zowel de relatievorm als de </w:t>
      </w:r>
      <w:r w:rsidRPr="006E14ED">
        <w:rPr>
          <w:lang w:val="nl-NL"/>
        </w:rPr>
        <w:t xml:space="preserve">relatievermogensrechtelijke overeenkomst </w:t>
      </w:r>
      <w:r>
        <w:t xml:space="preserve">van bepaalde duur wettelijk mogelijk zijn, maar de echtgenoten of wettelijk samenwonenden opteren om hun huwelijk of wettelijke samenwoning niet te onderwerpen aan een uitdovende tijdsbepaling. Dit terwijl de huwelijks- of samenlevingsovereenkomst wel van rechtswege onderworpen is aan de wettelijk gedetermineerde uitdovende tijdsbepaling </w:t>
      </w:r>
      <w:r w:rsidRPr="00FF34FD">
        <w:t>(</w:t>
      </w:r>
      <w:r w:rsidRPr="00FF34FD">
        <w:rPr>
          <w:i/>
          <w:iCs/>
        </w:rPr>
        <w:t xml:space="preserve">supra </w:t>
      </w:r>
      <w:r w:rsidRPr="00FF34FD">
        <w:t xml:space="preserve">randnummer </w:t>
      </w:r>
      <w:r>
        <w:t>167 e.v.</w:t>
      </w:r>
      <w:r w:rsidRPr="00FF34FD">
        <w:t>).</w:t>
      </w:r>
    </w:p>
    <w:p w14:paraId="3411377D" w14:textId="77777777" w:rsidR="00BD18A3" w:rsidRDefault="00BD18A3" w:rsidP="00BD18A3">
      <w:pPr>
        <w:pStyle w:val="Kop2"/>
      </w:pPr>
      <w:bookmarkStart w:id="94" w:name="_Toc167990515"/>
      <w:r>
        <w:t>Hoofdstuk 4. Bepaalde duur relatievorm en onbepaalde duur relatievermogensrechtelijke overeenkomst</w:t>
      </w:r>
      <w:bookmarkEnd w:id="94"/>
    </w:p>
    <w:p w14:paraId="138A80F8" w14:textId="77777777" w:rsidR="00BD18A3" w:rsidRDefault="00BD18A3" w:rsidP="00BD18A3">
      <w:pPr>
        <w:pStyle w:val="Lijstalinea"/>
        <w:numPr>
          <w:ilvl w:val="0"/>
          <w:numId w:val="26"/>
        </w:numPr>
        <w:ind w:left="0" w:firstLine="0"/>
      </w:pPr>
      <w:r>
        <w:t>De vierde en laatste hypothese bespreekt de situatie waarbij het huwelijk of de wettelijke samenwoning van bepaalde duur is en de hieraan gekoppelde huwelijks- of samenlevingsovereenkomst van onbepaalde duur is. In dit scenario zou het huwelijk of de wettelijke samenwoning onderworpen zijn aan een uitdovende tijdsbepaling, terwijl de respectievelijk huwelijks- of samenlevingsovereenkomst niet gekoppeld is aan een uitdovende tijdsbepaling. Deze hypothese is echter onmogelijk. De huwelijks- of samenlevingsovereenkomst zal nooit de duur van het huwelijk of de wettelijke samenwoning kunnen overschrijden. De huwelijks- of samenlevingsovereenkomst, de accessoire overeenkomst is namelijk van nature uit ondergeschikt aan het (voort)bestaan van het huwelijk of de wettelijke samenwoning, het hoofdcontract.</w:t>
      </w:r>
      <w:r>
        <w:rPr>
          <w:rStyle w:val="Voetnootmarkering"/>
        </w:rPr>
        <w:footnoteReference w:id="240"/>
      </w:r>
      <w:r>
        <w:t xml:space="preserve"> Wanneer het huwelijk of de wettelijke samenwoning ontbonden of beëindigd wordt, zal de respectievelijke huwelijks- of samenlevingsovereenkomst van rechtswege worden beëindigd.</w:t>
      </w:r>
    </w:p>
    <w:p w14:paraId="4382534E" w14:textId="77777777" w:rsidR="00BD18A3" w:rsidRDefault="00BD18A3" w:rsidP="00BD18A3">
      <w:pPr>
        <w:spacing w:line="240" w:lineRule="auto"/>
        <w:jc w:val="left"/>
      </w:pPr>
      <w:r>
        <w:br w:type="page"/>
      </w:r>
    </w:p>
    <w:p w14:paraId="79C2AD6D" w14:textId="77777777" w:rsidR="00BD18A3" w:rsidRDefault="00BD18A3" w:rsidP="00BD18A3">
      <w:pPr>
        <w:pStyle w:val="Kop1"/>
      </w:pPr>
      <w:bookmarkStart w:id="95" w:name="_Toc167990516"/>
      <w:r>
        <w:lastRenderedPageBreak/>
        <w:t>Conclusie</w:t>
      </w:r>
      <w:bookmarkEnd w:id="95"/>
    </w:p>
    <w:p w14:paraId="3C84237C" w14:textId="77777777" w:rsidR="00BD18A3" w:rsidRDefault="00BD18A3" w:rsidP="00BD18A3">
      <w:pPr>
        <w:pStyle w:val="Lijstalinea"/>
        <w:numPr>
          <w:ilvl w:val="0"/>
          <w:numId w:val="26"/>
        </w:numPr>
        <w:ind w:left="0" w:firstLine="0"/>
      </w:pPr>
      <w:r>
        <w:t>Deze masterthesis onderzocht partnerrelaties van bepaalde duur. Het bekeek enerzijds de mogelijkheid van relatievormen van bepaalde duur, namelijk het huwelijk en de wettelijke samenwoning van bepaalde duur. Anderzijds werden relatievermogensrechtelijke overeenkomsten van bepaalde duur, namelijk de huwelijks- en samenlevingsovereenkomst van bepaalde duur bestudeerd.</w:t>
      </w:r>
    </w:p>
    <w:p w14:paraId="345233AC" w14:textId="77777777" w:rsidR="00BD18A3" w:rsidRDefault="00BD18A3" w:rsidP="00BD18A3">
      <w:pPr>
        <w:pStyle w:val="Lijstalinea"/>
      </w:pPr>
    </w:p>
    <w:p w14:paraId="50952F57" w14:textId="77777777" w:rsidR="00BD18A3" w:rsidRDefault="00BD18A3" w:rsidP="00BD18A3">
      <w:pPr>
        <w:pStyle w:val="Lijstalinea"/>
        <w:numPr>
          <w:ilvl w:val="0"/>
          <w:numId w:val="26"/>
        </w:numPr>
        <w:ind w:left="0" w:firstLine="0"/>
      </w:pPr>
      <w:r>
        <w:t xml:space="preserve">Het creëren van partnerrelaties van bepaalde duur is absoluut geen sinecure. Maar aangezien mogelijkheden tot beëindiging van de relatievorm pertinenter dan ooit zijn en teneinde te verzekeren dat de relatievermogensrechtelijke overeenkomst </w:t>
      </w:r>
      <w:r>
        <w:rPr>
          <w:i/>
          <w:iCs/>
        </w:rPr>
        <w:t>up-to-date</w:t>
      </w:r>
      <w:r>
        <w:t xml:space="preserve"> is, lijkt de pertinentie van partnerrelaties van bepaalde duur evidenter dan dat aanvankelijk vermoed zou worden. Het is net daarom dat dit onderzoek poogde partnerrelaties van bepaalde duur, binnen de grenzen van het Belgisch recht, te construeren. Deze masterthesis trachtte vernieuwend te zijn. Dit door met een open vizier en kritische blik een nieuw licht op partnerrelaties te werpen, ook al gaat dit gepaard met het schoppen tegen heilige huisjes of het afwerpen van juridische dogma’s.</w:t>
      </w:r>
    </w:p>
    <w:p w14:paraId="0645FEFD" w14:textId="77777777" w:rsidR="00BD18A3" w:rsidRDefault="00BD18A3" w:rsidP="00BD18A3">
      <w:pPr>
        <w:pStyle w:val="Lijstalinea"/>
      </w:pPr>
    </w:p>
    <w:p w14:paraId="4653F658" w14:textId="77777777" w:rsidR="00BD18A3" w:rsidRDefault="00BD18A3" w:rsidP="00BD18A3">
      <w:pPr>
        <w:pStyle w:val="Lijstalinea"/>
        <w:numPr>
          <w:ilvl w:val="0"/>
          <w:numId w:val="26"/>
        </w:numPr>
        <w:ind w:left="0" w:firstLine="0"/>
      </w:pPr>
      <w:r>
        <w:t xml:space="preserve">Bij het vormgeven aan relatievormen van bepaalde duur, namelijk het huwelijk en de wettelijke samenwoning van bepaalde duur, waren er een aantal hinderpalen die relatievormen van bepaalde duur potentieel aan het struikelen konden doen brengen. Deze hindernissen werden op een juridisch-technische wijze benaderd, waardoor deze voor de overgrote meerderheid overwonnen werden. </w:t>
      </w:r>
    </w:p>
    <w:p w14:paraId="1E1E5DEB" w14:textId="77777777" w:rsidR="00BD18A3" w:rsidRDefault="00BD18A3" w:rsidP="00BD18A3">
      <w:pPr>
        <w:pStyle w:val="Lijstalinea"/>
      </w:pPr>
    </w:p>
    <w:p w14:paraId="0E05D2F2" w14:textId="77777777" w:rsidR="00BD18A3" w:rsidRDefault="00BD18A3" w:rsidP="00BD18A3">
      <w:pPr>
        <w:pStyle w:val="Lijstalinea"/>
      </w:pPr>
      <w:r>
        <w:t>Voor de wettelijke samenwoning van bepaalde duur, lijkt niets er op dat deze relatievorm strijdig is met de openbare orde of de grondvoorwaarden en vereisten van de wettelijke samenwoning.</w:t>
      </w:r>
    </w:p>
    <w:p w14:paraId="107A47D6" w14:textId="77777777" w:rsidR="00BD18A3" w:rsidRDefault="00BD18A3" w:rsidP="00BD18A3">
      <w:pPr>
        <w:pStyle w:val="Lijstalinea"/>
      </w:pPr>
    </w:p>
    <w:p w14:paraId="3E229FE1" w14:textId="77777777" w:rsidR="00BD18A3" w:rsidRDefault="00BD18A3" w:rsidP="00BD18A3">
      <w:pPr>
        <w:pStyle w:val="Lijstalinea"/>
      </w:pPr>
      <w:r>
        <w:t>Voor wat betreft het huwelijk van bepaalde duur is de cruciale vraag of het huwelijk van bepaalde duur strijdig is met de vereiste van de bestendige levensgemeenschap? Een negatief antwoord op deze vraag is de permisse voor het realiseren van het huwelijk van bepaalde duur. Indien, zoals in dit onderzoek wordt geopperd, de nietigheidsgrond van de afwezigheid van de bestendige levensgemeenschap louter als tool voor de bestrijding van schijnhuwelijken fungeert, veleer dan een daadwerkelijke grondvoorwaarde, lijkt een negatief antwoord waarschijnlijker. Onder dit voorbehoud kan het huwelijk van bepaalde duur tevens zijn intrede maken binnen het Belgisch recht.</w:t>
      </w:r>
    </w:p>
    <w:p w14:paraId="515C4AFC" w14:textId="77777777" w:rsidR="00BD18A3" w:rsidRDefault="00BD18A3" w:rsidP="00BD18A3">
      <w:pPr>
        <w:pStyle w:val="Lijstalinea"/>
      </w:pPr>
    </w:p>
    <w:p w14:paraId="5CB593FD" w14:textId="77777777" w:rsidR="00BD18A3" w:rsidRDefault="00BD18A3" w:rsidP="00BD18A3">
      <w:pPr>
        <w:pStyle w:val="Lijstalinea"/>
        <w:numPr>
          <w:ilvl w:val="0"/>
          <w:numId w:val="26"/>
        </w:numPr>
        <w:ind w:left="0" w:firstLine="0"/>
      </w:pPr>
      <w:r>
        <w:t xml:space="preserve">De bepaalde duur van de relatievorm wordt juridisch vertaald door middel van een uitdovende tijdsbepaling. Deze dient door de wetgever te worden erkend als grond van </w:t>
      </w:r>
      <w:r>
        <w:lastRenderedPageBreak/>
        <w:t xml:space="preserve">beëindiging van de relatievorm en wordt bij voorkeur geïmplementeerd in de huwelijks- of samenlevingsovereenkomst. De keuze voor de duurtijd, wanneer de uitdovende tijdsbepaling uitwerking krijgt, is in beginsel vrij. Echter kan er wel worden nagedacht over een minimumduur om misbruik te voorkomen. Op vlak van de wederzijdse rechten en verplichtingen tussen echtgenoten en wettelijk samenwonenden, zijn deze identiek voor het huwelijk en de wettelijke samenwoning van bepaalde duur, als voor de relatievormen van onbepaalde duur. De registratie van relatievormen van bepaalde duur verloopt via het centraal register voor huwelijks- en samenlevingsovereenkomsten. Zo is de uitdovende tijdsbepaling tegenwerpelijk ten aanzien van derden en worden de gegevens conform de Algemene Verordening Gegevensbescherming verwerkt. </w:t>
      </w:r>
    </w:p>
    <w:p w14:paraId="3CFB4713" w14:textId="77777777" w:rsidR="00BD18A3" w:rsidRDefault="00BD18A3" w:rsidP="00BD18A3">
      <w:pPr>
        <w:pStyle w:val="Lijstalinea"/>
      </w:pPr>
    </w:p>
    <w:p w14:paraId="0EE2688A" w14:textId="77777777" w:rsidR="00BD18A3" w:rsidRDefault="00BD18A3" w:rsidP="00BD18A3">
      <w:pPr>
        <w:pStyle w:val="Lijstalinea"/>
        <w:numPr>
          <w:ilvl w:val="0"/>
          <w:numId w:val="26"/>
        </w:numPr>
        <w:ind w:left="0" w:firstLine="0"/>
      </w:pPr>
      <w:r>
        <w:t>De uitdovende tijdsbepaling van het huwelijk en de wettelijke samenwoning betekent niet per definitie het einde van de relatievorm. De relatievorm van bepaalde duur voorziet in een systeem van verlenging, vernieuwing en hernieuwing. Specifiek naargelang de context van de verderzetting van de relatievorm. Hierdoor kunnen er verschillende opeenvolgende relatievormen van bepaalde onstaan. Conform het arbeidsrecht wordt een beperking hierop naar voor geschoven.</w:t>
      </w:r>
    </w:p>
    <w:p w14:paraId="1ED1384C" w14:textId="77777777" w:rsidR="00BD18A3" w:rsidRDefault="00BD18A3" w:rsidP="00BD18A3">
      <w:pPr>
        <w:pStyle w:val="Lijstalinea"/>
      </w:pPr>
    </w:p>
    <w:p w14:paraId="5B697DFF" w14:textId="77777777" w:rsidR="00BD18A3" w:rsidRDefault="00BD18A3" w:rsidP="00BD18A3">
      <w:pPr>
        <w:pStyle w:val="Lijstalinea"/>
        <w:numPr>
          <w:ilvl w:val="0"/>
          <w:numId w:val="26"/>
        </w:numPr>
        <w:ind w:left="0" w:firstLine="0"/>
      </w:pPr>
      <w:r>
        <w:t>De relatievormen van bepaalde duur worden voortijdig of bij het verstrijken van de uitdovende tijdsbepaling beëindigd. In beide gevallen vervullen wachttermijnen de functie van opzeggingstermijn. Of de relatievorm van bepaalde duur nu voortijdig of bij het verstrijken van de uitdovende tijdsbepaling wordt beëindigd, de gevolgen zullen identiek zijn aan die van het huwelijk en de wettelijke samenwoning van onbepaalde duur.</w:t>
      </w:r>
    </w:p>
    <w:p w14:paraId="791376ED" w14:textId="77777777" w:rsidR="00BD18A3" w:rsidRDefault="00BD18A3" w:rsidP="00BD18A3">
      <w:pPr>
        <w:pStyle w:val="Lijstalinea"/>
      </w:pPr>
    </w:p>
    <w:p w14:paraId="7AC65363" w14:textId="77777777" w:rsidR="00BD18A3" w:rsidRDefault="00BD18A3" w:rsidP="00BD18A3">
      <w:pPr>
        <w:pStyle w:val="Lijstalinea"/>
        <w:numPr>
          <w:ilvl w:val="0"/>
          <w:numId w:val="26"/>
        </w:numPr>
        <w:ind w:left="0" w:firstLine="0"/>
      </w:pPr>
      <w:r>
        <w:t>Het tweede grote luik van deze masterthesis omvatte het onderzoek naar de relatievermogensrechtelijke overeenkomst van bepaalde duur, namelijk de huwelijks- en samenlevingsovereenkomst van bepaalde duur. Door de koppeling van een vervaldatum aan de huwelijks- of samenlevingsovereenkomst, wordt gegarandeerd dat de relatievermogensrechtelijke overeenkomst, na verloop van tijd, actief wordt heroverwogen.</w:t>
      </w:r>
    </w:p>
    <w:p w14:paraId="2579EF62" w14:textId="77777777" w:rsidR="00BD18A3" w:rsidRDefault="00BD18A3" w:rsidP="00BD18A3">
      <w:pPr>
        <w:pStyle w:val="Lijstalinea"/>
      </w:pPr>
    </w:p>
    <w:p w14:paraId="51E1442A" w14:textId="77777777" w:rsidR="00BD18A3" w:rsidRDefault="00BD18A3" w:rsidP="00BD18A3">
      <w:pPr>
        <w:pStyle w:val="Lijstalinea"/>
        <w:numPr>
          <w:ilvl w:val="0"/>
          <w:numId w:val="26"/>
        </w:numPr>
        <w:ind w:left="0" w:firstLine="0"/>
      </w:pPr>
      <w:r>
        <w:t xml:space="preserve">De bepaalde duur van de huwelijks- of samenlevingsovereenkomst komt tevens tot uiting door middel van een uitdovende tijdsbepaling. De duurtijd van de uitdovende tijdsbepaling is in tegenstelling tot de relatievorm van bepaalde duur niet vrij te bepalen, maar is een door de wetgever vooraf bepaalde wettelijk voorgeschreven duur. Dit omwille van de fundamenteel andere </w:t>
      </w:r>
      <w:r>
        <w:rPr>
          <w:i/>
          <w:iCs/>
        </w:rPr>
        <w:t xml:space="preserve">ratio legis </w:t>
      </w:r>
      <w:r>
        <w:t>achter de relatievermogensrechtelijke overeenkomst van bepaalde duur.</w:t>
      </w:r>
    </w:p>
    <w:p w14:paraId="4A00D6A0" w14:textId="77777777" w:rsidR="00BD18A3" w:rsidRDefault="00BD18A3" w:rsidP="00BD18A3">
      <w:pPr>
        <w:pStyle w:val="Lijstalinea"/>
      </w:pPr>
    </w:p>
    <w:p w14:paraId="1D368A06" w14:textId="77777777" w:rsidR="00BD18A3" w:rsidRDefault="00BD18A3" w:rsidP="00BD18A3">
      <w:pPr>
        <w:pStyle w:val="Lijstalinea"/>
        <w:numPr>
          <w:ilvl w:val="0"/>
          <w:numId w:val="26"/>
        </w:numPr>
        <w:ind w:left="0" w:firstLine="0"/>
      </w:pPr>
      <w:r>
        <w:lastRenderedPageBreak/>
        <w:t xml:space="preserve">De uitdovende tijdsbepaling van de huwelijks- of samenlevingsovereenkomst maakt niet per se een einde aan de relatievermogensrechtelijke overeenkomst. De huwelijks- of samenlevingsovereenkomst kan worden verlengd, vernieuwd of gewijzigd waardoor de relatievermogensrechtelijke overeenkomst nieuw leven wordt ingeblazen. Een systeem van stilzwijgende vernieuwing en een beperking van het aantal opeenvolgende relatievermogensrechtelijke overeenkomsten van bepaalde duur dient te worden uitgesloten aangezien dit, in tegenstelling tot de relatievorm van bepaalde duur, niet wenselijk is. </w:t>
      </w:r>
    </w:p>
    <w:p w14:paraId="5059D01C" w14:textId="77777777" w:rsidR="00BD18A3" w:rsidRDefault="00BD18A3" w:rsidP="00BD18A3">
      <w:pPr>
        <w:pStyle w:val="Lijstalinea"/>
      </w:pPr>
    </w:p>
    <w:p w14:paraId="2091AA66" w14:textId="77777777" w:rsidR="00BD18A3" w:rsidRDefault="00BD18A3" w:rsidP="00BD18A3">
      <w:pPr>
        <w:pStyle w:val="Lijstalinea"/>
        <w:numPr>
          <w:ilvl w:val="0"/>
          <w:numId w:val="26"/>
        </w:numPr>
        <w:ind w:left="0" w:firstLine="0"/>
      </w:pPr>
      <w:r>
        <w:t>Wanneer de relatievermogensrechtelijke overeenkomst van bepaalde duur niet wordt verlengd, vernieuwd of gewijzigd zal de uitdovende tijdsbepaling uitwerking krijgen en gaat de huwelijks- of samenlevingsovereenkomst teniet. Hierdoor krijgt het wettelijk stelsel uitwerking. Deze maatregel fungeert als hefboom om partners te dwingen hun huwelijks- of samenlevingsovereenkomst te herbekijken.</w:t>
      </w:r>
    </w:p>
    <w:p w14:paraId="0F42D7EF" w14:textId="77777777" w:rsidR="00BD18A3" w:rsidRDefault="00BD18A3" w:rsidP="00BD18A3">
      <w:pPr>
        <w:pStyle w:val="Lijstalinea"/>
      </w:pPr>
    </w:p>
    <w:p w14:paraId="1262AD3D" w14:textId="77777777" w:rsidR="00BD18A3" w:rsidRDefault="00BD18A3" w:rsidP="00BD18A3">
      <w:pPr>
        <w:pStyle w:val="Lijstalinea"/>
        <w:numPr>
          <w:ilvl w:val="0"/>
          <w:numId w:val="26"/>
        </w:numPr>
        <w:ind w:left="0" w:firstLine="0"/>
      </w:pPr>
      <w:r>
        <w:t>Indien beide luiken van dit onderzoek, namelijk de relatievormen en de relatievermogensrechtelijke overeenkomsten van bepaalde duur, hun intrede vinden binnen het Belgisch rechtsbestel kunnen er combinaties onstaan tussen relatievormen en relatievermogensrechtelijke overeenkomsten van (on)bepaalde duur. Zo ontwikkelt er zich een geheel aan partnerrelaties van (on)bepaalde duur.</w:t>
      </w:r>
    </w:p>
    <w:p w14:paraId="6E9CC696" w14:textId="77777777" w:rsidR="00BD18A3" w:rsidRDefault="00BD18A3" w:rsidP="00BD18A3">
      <w:pPr>
        <w:pStyle w:val="Lijstalinea"/>
      </w:pPr>
    </w:p>
    <w:p w14:paraId="0F7B68FF" w14:textId="77777777" w:rsidR="00BD18A3" w:rsidRDefault="00BD18A3" w:rsidP="00BD18A3">
      <w:pPr>
        <w:pStyle w:val="Lijstalinea"/>
        <w:numPr>
          <w:ilvl w:val="0"/>
          <w:numId w:val="26"/>
        </w:numPr>
        <w:ind w:left="0" w:firstLine="0"/>
      </w:pPr>
      <w:r>
        <w:t>Realistisch gezien is kans dat relatievormen en relatievermogensrechtelijk overeenkomsten van bepaalde duur op korte termijn hun ingang zullen vinden in het Belgisch recht, eerder klein. Aangezien recht het product is van de samenleving, zal er eerst een afdoende maatschappelijk draagvlak vereist zijn. Wanneer de maatschappelijke nood en urgentie groeit, kan er uit dit onderzoek geconcludeerd worden dat er juridisch niet zoveel bakens meer verzet dienen te worden om partnerrelaties van bepaalde duur effectief te verwezenlijken. Juridisch is er, onder voorbehoud dat de levensgemeenschap van bepaalde duur afdoende bestendig is, een antwoord op de maatschappelijke vraag naar partnerrelaties van bepaalde duur. Partnerrelaties van bepaalde duur is flirten met de grenzen van het Belgisch recht, maar is (waarschijnlijk) niet recht/grensoverschrijdend.</w:t>
      </w:r>
    </w:p>
    <w:p w14:paraId="0C77C5E6" w14:textId="77777777" w:rsidR="00BD18A3" w:rsidRDefault="00BD18A3" w:rsidP="00BD18A3">
      <w:pPr>
        <w:pStyle w:val="Lijstalinea"/>
      </w:pPr>
    </w:p>
    <w:p w14:paraId="69EFB210" w14:textId="77777777" w:rsidR="00BD18A3" w:rsidRDefault="00BD18A3" w:rsidP="00BD18A3">
      <w:pPr>
        <w:pStyle w:val="Lijstalinea"/>
      </w:pPr>
    </w:p>
    <w:p w14:paraId="2B8F01C8" w14:textId="77777777" w:rsidR="00BD18A3" w:rsidRDefault="00BD18A3" w:rsidP="00BD18A3"/>
    <w:p w14:paraId="284413B3" w14:textId="77777777" w:rsidR="00BD18A3" w:rsidRPr="00E13A42" w:rsidRDefault="00BD18A3" w:rsidP="00BD18A3">
      <w:r>
        <w:t xml:space="preserve"> </w:t>
      </w:r>
    </w:p>
    <w:p w14:paraId="56B47CCA" w14:textId="77777777" w:rsidR="00BD18A3" w:rsidRDefault="00BD18A3" w:rsidP="00BD18A3">
      <w:pPr>
        <w:spacing w:line="240" w:lineRule="auto"/>
        <w:jc w:val="left"/>
        <w:rPr>
          <w:rFonts w:eastAsiaTheme="majorEastAsia" w:cstheme="majorBidi"/>
          <w:b/>
          <w:color w:val="2F5496" w:themeColor="accent1" w:themeShade="BF"/>
          <w:sz w:val="24"/>
          <w:szCs w:val="32"/>
        </w:rPr>
      </w:pPr>
      <w:r>
        <w:br w:type="page"/>
      </w:r>
    </w:p>
    <w:p w14:paraId="65242527" w14:textId="77777777" w:rsidR="00BD18A3" w:rsidRPr="00BC199E" w:rsidRDefault="00BD18A3" w:rsidP="00BD18A3">
      <w:pPr>
        <w:pStyle w:val="Kop1"/>
      </w:pPr>
      <w:bookmarkStart w:id="96" w:name="_Toc167990517"/>
      <w:r>
        <w:lastRenderedPageBreak/>
        <w:t>Bibliografie</w:t>
      </w:r>
      <w:bookmarkEnd w:id="96"/>
    </w:p>
    <w:p w14:paraId="36B225DB" w14:textId="77777777" w:rsidR="00BD18A3" w:rsidRDefault="00BD18A3" w:rsidP="00BD18A3">
      <w:pPr>
        <w:pStyle w:val="Kop2"/>
      </w:pPr>
      <w:bookmarkStart w:id="97" w:name="_Toc167990518"/>
      <w:r>
        <w:t>Wetgeving</w:t>
      </w:r>
      <w:bookmarkEnd w:id="97"/>
    </w:p>
    <w:p w14:paraId="6B63107B" w14:textId="77777777" w:rsidR="00BD18A3" w:rsidRDefault="00BD18A3" w:rsidP="00BD18A3">
      <w:pPr>
        <w:pStyle w:val="Voetnoottekst"/>
        <w:spacing w:line="360" w:lineRule="auto"/>
      </w:pPr>
      <w:r w:rsidRPr="0099218D">
        <w:t>Verord.Raad en Parlement nr. 2016/679, 27 april 2016 betreffende de bescherming van natuurlijke personen in verband met de verwerking van persoonsgegevens en betreffende het vrije verkeer van die gegevens en tot intrekkking van Richtlijn 95/46/EG</w:t>
      </w:r>
      <w:r>
        <w:t xml:space="preserve">, </w:t>
      </w:r>
      <w:r w:rsidRPr="007A2174">
        <w:rPr>
          <w:i/>
          <w:iCs/>
        </w:rPr>
        <w:t xml:space="preserve">Pb.L. </w:t>
      </w:r>
      <w:r w:rsidRPr="007A2174">
        <w:t>4 mei 2016.</w:t>
      </w:r>
    </w:p>
    <w:p w14:paraId="527C3B4A" w14:textId="77777777" w:rsidR="00BD18A3" w:rsidRPr="007A2174" w:rsidRDefault="00BD18A3" w:rsidP="00BD18A3">
      <w:pPr>
        <w:pStyle w:val="Voetnoottekst"/>
        <w:spacing w:line="360" w:lineRule="auto"/>
        <w:rPr>
          <w:sz w:val="22"/>
          <w:szCs w:val="22"/>
        </w:rPr>
      </w:pPr>
    </w:p>
    <w:p w14:paraId="02FB626C" w14:textId="77777777" w:rsidR="00BD18A3" w:rsidRDefault="00BD18A3" w:rsidP="00BD18A3">
      <w:r>
        <w:t>Oud Burgerlijk Wetboek.</w:t>
      </w:r>
    </w:p>
    <w:p w14:paraId="00FB893A" w14:textId="77777777" w:rsidR="00BD18A3" w:rsidRPr="00E95F83" w:rsidRDefault="00BD18A3" w:rsidP="00BD18A3"/>
    <w:p w14:paraId="4CCC2E32" w14:textId="77777777" w:rsidR="00BD18A3" w:rsidRPr="00747F8A" w:rsidRDefault="00BD18A3" w:rsidP="00BD18A3">
      <w:pPr>
        <w:pStyle w:val="Voetnoottekst"/>
        <w:spacing w:line="360" w:lineRule="auto"/>
      </w:pPr>
      <w:r>
        <w:t>W</w:t>
      </w:r>
      <w:r w:rsidRPr="00747F8A">
        <w:t>et van 25 vent</w:t>
      </w:r>
      <w:r>
        <w:t>ô</w:t>
      </w:r>
      <w:r w:rsidRPr="00747F8A">
        <w:t>se jaar XI op het notarisambt</w:t>
      </w:r>
      <w:r>
        <w:t xml:space="preserve">, </w:t>
      </w:r>
      <w:r>
        <w:rPr>
          <w:i/>
          <w:iCs/>
        </w:rPr>
        <w:t xml:space="preserve">BS </w:t>
      </w:r>
      <w:r>
        <w:t>16 maart 1803.</w:t>
      </w:r>
    </w:p>
    <w:p w14:paraId="50150082" w14:textId="77777777" w:rsidR="00BD18A3" w:rsidRDefault="00BD18A3" w:rsidP="00BD18A3"/>
    <w:p w14:paraId="50C16BD8" w14:textId="77777777" w:rsidR="00BD18A3" w:rsidRDefault="00BD18A3" w:rsidP="00BD18A3">
      <w:r>
        <w:t>Burgerlijk Wetboek.</w:t>
      </w:r>
    </w:p>
    <w:p w14:paraId="27531789" w14:textId="77777777" w:rsidR="00BD18A3" w:rsidRDefault="00BD18A3" w:rsidP="00BD18A3"/>
    <w:p w14:paraId="39BAA2FC" w14:textId="77777777" w:rsidR="00BD18A3" w:rsidRPr="008C7903" w:rsidRDefault="00BD18A3" w:rsidP="00BD18A3">
      <w:pPr>
        <w:rPr>
          <w:szCs w:val="20"/>
        </w:rPr>
      </w:pPr>
      <w:r w:rsidRPr="000A5F07">
        <w:rPr>
          <w:szCs w:val="20"/>
        </w:rPr>
        <w:t>Ger</w:t>
      </w:r>
      <w:r>
        <w:rPr>
          <w:szCs w:val="20"/>
        </w:rPr>
        <w:t>echtelijk Wetboek.</w:t>
      </w:r>
    </w:p>
    <w:p w14:paraId="480B6A93" w14:textId="77777777" w:rsidR="00BD18A3" w:rsidRPr="0068036D" w:rsidRDefault="00BD18A3" w:rsidP="00BD18A3"/>
    <w:p w14:paraId="790458C0" w14:textId="77777777" w:rsidR="00BD18A3" w:rsidRPr="00003CFF" w:rsidRDefault="00BD18A3" w:rsidP="00BD18A3">
      <w:pPr>
        <w:pStyle w:val="Voetnoottekst"/>
        <w:spacing w:line="360" w:lineRule="auto"/>
        <w:rPr>
          <w:sz w:val="22"/>
          <w:szCs w:val="22"/>
        </w:rPr>
      </w:pPr>
      <w:r w:rsidRPr="00003CFF">
        <w:t xml:space="preserve">Wet 23 november 1998 tot invoering van de wettelijke samenwoning, </w:t>
      </w:r>
      <w:r w:rsidRPr="00003CFF">
        <w:rPr>
          <w:i/>
          <w:iCs/>
        </w:rPr>
        <w:t xml:space="preserve">BS </w:t>
      </w:r>
      <w:r w:rsidRPr="00003CFF">
        <w:t>12 januari 1999.</w:t>
      </w:r>
    </w:p>
    <w:p w14:paraId="36CDA54D" w14:textId="77777777" w:rsidR="00BD18A3" w:rsidRPr="004B563D" w:rsidRDefault="00BD18A3" w:rsidP="00BD18A3">
      <w:pPr>
        <w:rPr>
          <w:sz w:val="22"/>
          <w:szCs w:val="32"/>
        </w:rPr>
      </w:pPr>
    </w:p>
    <w:p w14:paraId="0A4B5604" w14:textId="77777777" w:rsidR="00BD18A3" w:rsidRDefault="00BD18A3" w:rsidP="00BD18A3">
      <w:pPr>
        <w:rPr>
          <w:szCs w:val="20"/>
        </w:rPr>
      </w:pPr>
      <w:r w:rsidRPr="004B563D">
        <w:rPr>
          <w:szCs w:val="20"/>
        </w:rPr>
        <w:t xml:space="preserve">Wet 13 februari 2003 tot openstelling van het huwelijk voor personen van hetzelfde geslacht en tot wijziging van een aantal bepalingen van het Burgerlijk Wetboek, </w:t>
      </w:r>
      <w:r w:rsidRPr="004B563D">
        <w:rPr>
          <w:i/>
          <w:iCs/>
          <w:szCs w:val="20"/>
        </w:rPr>
        <w:t>BS</w:t>
      </w:r>
      <w:r w:rsidRPr="004B563D">
        <w:rPr>
          <w:szCs w:val="20"/>
        </w:rPr>
        <w:t xml:space="preserve"> 28 februari 2003.</w:t>
      </w:r>
    </w:p>
    <w:p w14:paraId="072F7F2B" w14:textId="77777777" w:rsidR="00BD18A3" w:rsidRDefault="00BD18A3" w:rsidP="00BD18A3">
      <w:pPr>
        <w:rPr>
          <w:szCs w:val="20"/>
        </w:rPr>
      </w:pPr>
    </w:p>
    <w:p w14:paraId="442E5270" w14:textId="77777777" w:rsidR="00BD18A3" w:rsidRDefault="00BD18A3" w:rsidP="00BD18A3">
      <w:pPr>
        <w:pStyle w:val="Voetnoottekst"/>
        <w:spacing w:line="360" w:lineRule="auto"/>
      </w:pPr>
      <w:r w:rsidRPr="00003CFF">
        <w:t xml:space="preserve">Wet 8 februari 2023 tot wijziging van het oud Burgerlijk Wetboek met het oog op de afschaffing van de beëindiging van de wettelijke samenwoning door het huwelijk met een derde, </w:t>
      </w:r>
      <w:r w:rsidRPr="00003CFF">
        <w:rPr>
          <w:i/>
          <w:iCs/>
        </w:rPr>
        <w:t xml:space="preserve">BS </w:t>
      </w:r>
      <w:r w:rsidRPr="00003CFF">
        <w:t>1 maart 2023.</w:t>
      </w:r>
    </w:p>
    <w:p w14:paraId="401D66E8" w14:textId="77777777" w:rsidR="00BD18A3" w:rsidRDefault="00BD18A3" w:rsidP="00BD18A3">
      <w:pPr>
        <w:pStyle w:val="Voetnoottekst"/>
        <w:spacing w:line="360" w:lineRule="auto"/>
      </w:pPr>
    </w:p>
    <w:p w14:paraId="4301B26A" w14:textId="77777777" w:rsidR="00BD18A3" w:rsidRDefault="00BD18A3" w:rsidP="00BD18A3">
      <w:pPr>
        <w:pStyle w:val="Voetnoottekst"/>
        <w:spacing w:line="360" w:lineRule="auto"/>
      </w:pPr>
      <w:r w:rsidRPr="00E02F33">
        <w:t>Omz. van 17 december 1999 inzake de Wet van 4 mei 1999 tot wijziging van een aantal bepalingen betreffende het huwelijk, </w:t>
      </w:r>
      <w:r w:rsidRPr="00E02F33">
        <w:rPr>
          <w:i/>
          <w:iCs/>
        </w:rPr>
        <w:t>BS</w:t>
      </w:r>
      <w:r w:rsidRPr="00E02F33">
        <w:t xml:space="preserve"> 31 december 1999.</w:t>
      </w:r>
    </w:p>
    <w:p w14:paraId="33266812" w14:textId="77777777" w:rsidR="00BD18A3" w:rsidRDefault="00BD18A3" w:rsidP="00BD18A3">
      <w:pPr>
        <w:pStyle w:val="Voetnoottekst"/>
        <w:spacing w:line="360" w:lineRule="auto"/>
      </w:pPr>
    </w:p>
    <w:p w14:paraId="63735307" w14:textId="77777777" w:rsidR="00BD18A3" w:rsidRDefault="00BD18A3" w:rsidP="00BD18A3">
      <w:pPr>
        <w:pStyle w:val="Voetnoottekst"/>
        <w:spacing w:line="360" w:lineRule="auto"/>
      </w:pPr>
      <w:r w:rsidRPr="009C74D8">
        <w:t xml:space="preserve">Verslag namens de Commissie voor de Justitie, </w:t>
      </w:r>
      <w:r w:rsidRPr="009C74D8">
        <w:rPr>
          <w:i/>
          <w:iCs/>
        </w:rPr>
        <w:t xml:space="preserve">Parl.St. </w:t>
      </w:r>
      <w:r w:rsidRPr="009C74D8">
        <w:t>Senaat 1997-98, nr 1-916/5, 10-11</w:t>
      </w:r>
      <w:r>
        <w:t>.</w:t>
      </w:r>
    </w:p>
    <w:p w14:paraId="5A45213D" w14:textId="77777777" w:rsidR="00BD18A3" w:rsidRDefault="00BD18A3" w:rsidP="00BD18A3">
      <w:pPr>
        <w:pStyle w:val="Voetnoottekst"/>
        <w:spacing w:line="360" w:lineRule="auto"/>
      </w:pPr>
    </w:p>
    <w:p w14:paraId="2918F801" w14:textId="77777777" w:rsidR="00BD18A3" w:rsidRPr="00E02F33" w:rsidRDefault="00BD18A3" w:rsidP="00BD18A3">
      <w:r w:rsidRPr="00E02F33">
        <w:t>Verslag namens de commissie voor de Justitie, </w:t>
      </w:r>
      <w:r w:rsidRPr="00E02F33">
        <w:rPr>
          <w:i/>
          <w:iCs/>
        </w:rPr>
        <w:t>Parl.St</w:t>
      </w:r>
      <w:r w:rsidRPr="00E02F33">
        <w:t>. Kamer 1997-98, nr. 49-170/8, 62-64</w:t>
      </w:r>
      <w:r>
        <w:t>.</w:t>
      </w:r>
    </w:p>
    <w:p w14:paraId="3DEF05D8" w14:textId="77777777" w:rsidR="00BD18A3" w:rsidRDefault="00BD18A3" w:rsidP="00BD18A3">
      <w:pPr>
        <w:pStyle w:val="Voetnoottekst"/>
        <w:spacing w:line="360" w:lineRule="auto"/>
      </w:pPr>
    </w:p>
    <w:p w14:paraId="15C01440" w14:textId="77777777" w:rsidR="00BD18A3" w:rsidRPr="00B8409A" w:rsidRDefault="00BD18A3" w:rsidP="00BD18A3">
      <w:r>
        <w:t>V</w:t>
      </w:r>
      <w:r w:rsidRPr="00B8409A">
        <w:t>erslag namens de commissie voor de Justitie, </w:t>
      </w:r>
      <w:r w:rsidRPr="00B8409A">
        <w:rPr>
          <w:i/>
          <w:iCs/>
        </w:rPr>
        <w:t>Parl.St.</w:t>
      </w:r>
      <w:r w:rsidRPr="00B8409A">
        <w:t> Kamer 1998-99, nr. 49-170/15, 6</w:t>
      </w:r>
      <w:r>
        <w:t>.</w:t>
      </w:r>
    </w:p>
    <w:p w14:paraId="04D59A7E" w14:textId="77777777" w:rsidR="00BD18A3" w:rsidRDefault="00BD18A3" w:rsidP="00BD18A3">
      <w:pPr>
        <w:pStyle w:val="Voetnoottekst"/>
        <w:spacing w:line="360" w:lineRule="auto"/>
      </w:pPr>
    </w:p>
    <w:p w14:paraId="119492F1" w14:textId="77777777" w:rsidR="00BD18A3" w:rsidRDefault="00BD18A3" w:rsidP="00BD18A3">
      <w:pPr>
        <w:pStyle w:val="Voetnoottekst"/>
        <w:spacing w:line="360" w:lineRule="auto"/>
      </w:pPr>
      <w:r>
        <w:lastRenderedPageBreak/>
        <w:t>Verslag namens de commissie voor de Justitie</w:t>
      </w:r>
      <w:r w:rsidRPr="00E02F33">
        <w:t>, </w:t>
      </w:r>
      <w:r w:rsidRPr="00E02F33">
        <w:rPr>
          <w:i/>
          <w:iCs/>
        </w:rPr>
        <w:t>Parl.St.</w:t>
      </w:r>
      <w:r w:rsidRPr="00E02F33">
        <w:t> Kamer 1998-99, nr. 1991/3, 13-14.</w:t>
      </w:r>
    </w:p>
    <w:p w14:paraId="0BD5DFC0" w14:textId="77777777" w:rsidR="00BD18A3" w:rsidRDefault="00BD18A3" w:rsidP="00BD18A3">
      <w:pPr>
        <w:pStyle w:val="Voetnoottekst"/>
        <w:spacing w:line="360" w:lineRule="auto"/>
      </w:pPr>
    </w:p>
    <w:p w14:paraId="26F58512" w14:textId="77777777" w:rsidR="00BD18A3" w:rsidRDefault="00BD18A3" w:rsidP="00BD18A3">
      <w:pPr>
        <w:pStyle w:val="Voetnoottekst"/>
        <w:spacing w:line="360" w:lineRule="auto"/>
      </w:pPr>
      <w:r w:rsidRPr="00B8409A">
        <w:t>Adv.RvS 52.283/2, </w:t>
      </w:r>
      <w:r w:rsidRPr="00B8409A">
        <w:rPr>
          <w:i/>
          <w:iCs/>
        </w:rPr>
        <w:t>Parl.St</w:t>
      </w:r>
      <w:r w:rsidRPr="00B8409A">
        <w:t>. Kamer 2012-13, nr. 53-2673/1, 34.</w:t>
      </w:r>
    </w:p>
    <w:p w14:paraId="33FEBF7C" w14:textId="77777777" w:rsidR="00BD18A3" w:rsidRDefault="00BD18A3" w:rsidP="00BD18A3">
      <w:pPr>
        <w:pStyle w:val="Voetnoottekst"/>
        <w:spacing w:line="360" w:lineRule="auto"/>
      </w:pPr>
    </w:p>
    <w:p w14:paraId="4F04B783" w14:textId="77777777" w:rsidR="00BD18A3" w:rsidRPr="008C7903" w:rsidRDefault="00BD18A3" w:rsidP="00BD18A3">
      <w:pPr>
        <w:pStyle w:val="Kop2"/>
      </w:pPr>
      <w:bookmarkStart w:id="98" w:name="_Toc167990519"/>
      <w:r>
        <w:t>Rechtspraak</w:t>
      </w:r>
      <w:bookmarkEnd w:id="98"/>
    </w:p>
    <w:p w14:paraId="0300F0AA" w14:textId="77777777" w:rsidR="00BD18A3" w:rsidRDefault="00BD18A3" w:rsidP="00BD18A3">
      <w:r w:rsidRPr="003764C9">
        <w:t xml:space="preserve">Cass. 17 januari 2013, </w:t>
      </w:r>
      <w:r w:rsidRPr="003764C9">
        <w:rPr>
          <w:i/>
          <w:iCs/>
        </w:rPr>
        <w:t xml:space="preserve">RW </w:t>
      </w:r>
      <w:r w:rsidRPr="003764C9">
        <w:t>2013-14, 901</w:t>
      </w:r>
      <w:r>
        <w:t>.</w:t>
      </w:r>
    </w:p>
    <w:p w14:paraId="561D5597" w14:textId="77777777" w:rsidR="00BD18A3" w:rsidRDefault="00BD18A3" w:rsidP="00BD18A3"/>
    <w:p w14:paraId="3E6965AA" w14:textId="77777777" w:rsidR="00BD18A3" w:rsidRPr="006735E1" w:rsidRDefault="00BD18A3" w:rsidP="00BD18A3">
      <w:pPr>
        <w:pStyle w:val="Voetnoottekst"/>
        <w:spacing w:line="360" w:lineRule="auto"/>
      </w:pPr>
      <w:r w:rsidRPr="006735E1">
        <w:t xml:space="preserve">Cass. 23 januari 2015, AR C.13.0157.N, </w:t>
      </w:r>
      <w:r w:rsidRPr="006735E1">
        <w:rPr>
          <w:i/>
          <w:iCs/>
        </w:rPr>
        <w:t xml:space="preserve">Arr.Cass </w:t>
      </w:r>
      <w:r w:rsidRPr="006735E1">
        <w:t>2015.</w:t>
      </w:r>
    </w:p>
    <w:p w14:paraId="6C6DF323" w14:textId="77777777" w:rsidR="00BD18A3" w:rsidRPr="006735E1" w:rsidRDefault="00BD18A3" w:rsidP="00BD18A3"/>
    <w:p w14:paraId="51157163" w14:textId="77777777" w:rsidR="00BD18A3" w:rsidRPr="001B06DA" w:rsidRDefault="00BD18A3" w:rsidP="00BD18A3">
      <w:pPr>
        <w:pStyle w:val="Voetnoottekst"/>
        <w:spacing w:line="360" w:lineRule="auto"/>
        <w:rPr>
          <w:lang w:val="nl-NL"/>
        </w:rPr>
      </w:pPr>
      <w:r w:rsidRPr="001B06DA">
        <w:t xml:space="preserve">Brussel 6 maart 2014, </w:t>
      </w:r>
      <w:r w:rsidRPr="001B06DA">
        <w:rPr>
          <w:i/>
          <w:iCs/>
        </w:rPr>
        <w:t>Act.dr.fam.</w:t>
      </w:r>
      <w:r w:rsidRPr="001B06DA">
        <w:t xml:space="preserve"> 2014, 258, noot J. Fierens “Poker-menteur à Las Vegas”</w:t>
      </w:r>
      <w:r>
        <w:rPr>
          <w:lang w:val="nl-NL"/>
        </w:rPr>
        <w:t>.</w:t>
      </w:r>
    </w:p>
    <w:p w14:paraId="3EABBD8E" w14:textId="77777777" w:rsidR="00BD18A3" w:rsidRPr="003E4EDF" w:rsidRDefault="00BD18A3" w:rsidP="00BD18A3"/>
    <w:p w14:paraId="5D93BB37" w14:textId="77777777" w:rsidR="00BD18A3" w:rsidRDefault="00BD18A3" w:rsidP="00BD18A3">
      <w:r w:rsidRPr="00A90EE8">
        <w:t xml:space="preserve">Gent 27 november 2014, </w:t>
      </w:r>
      <w:r w:rsidRPr="00A90EE8">
        <w:rPr>
          <w:i/>
          <w:iCs/>
        </w:rPr>
        <w:t>RTDF</w:t>
      </w:r>
      <w:r w:rsidRPr="00A90EE8">
        <w:t xml:space="preserve"> 2015, 678, </w:t>
      </w:r>
      <w:r w:rsidRPr="00A90EE8">
        <w:rPr>
          <w:i/>
          <w:iCs/>
        </w:rPr>
        <w:t>RW</w:t>
      </w:r>
      <w:r w:rsidRPr="00A90EE8">
        <w:t xml:space="preserve"> 2015-16, 1671, </w:t>
      </w:r>
      <w:r w:rsidRPr="00A90EE8">
        <w:rPr>
          <w:i/>
          <w:iCs/>
        </w:rPr>
        <w:t>TGR-TWVR</w:t>
      </w:r>
      <w:r w:rsidRPr="00A90EE8">
        <w:t xml:space="preserve"> 2015, 173 en </w:t>
      </w:r>
      <w:r w:rsidRPr="00A90EE8">
        <w:rPr>
          <w:i/>
          <w:iCs/>
        </w:rPr>
        <w:t>T.Fam</w:t>
      </w:r>
      <w:r w:rsidRPr="00A90EE8">
        <w:t>. 2015, 132, noot DE SCHRIJVER</w:t>
      </w:r>
      <w:r>
        <w:t>, L.</w:t>
      </w:r>
    </w:p>
    <w:p w14:paraId="07820387" w14:textId="77777777" w:rsidR="00BD18A3" w:rsidRPr="00D9458D" w:rsidRDefault="00BD18A3" w:rsidP="00BD18A3">
      <w:pPr>
        <w:rPr>
          <w:sz w:val="22"/>
          <w:szCs w:val="32"/>
        </w:rPr>
      </w:pPr>
    </w:p>
    <w:p w14:paraId="21CDFDA7" w14:textId="77777777" w:rsidR="00BD18A3" w:rsidRDefault="00BD18A3" w:rsidP="00BD18A3">
      <w:pPr>
        <w:rPr>
          <w:szCs w:val="20"/>
        </w:rPr>
      </w:pPr>
      <w:r w:rsidRPr="00D9458D">
        <w:rPr>
          <w:szCs w:val="20"/>
        </w:rPr>
        <w:t xml:space="preserve">Gent 8  januari 2015, nr. 2014/AR/2887 en Gent 19  november 2015, </w:t>
      </w:r>
      <w:r w:rsidRPr="00D9458D">
        <w:rPr>
          <w:i/>
          <w:iCs/>
          <w:szCs w:val="20"/>
        </w:rPr>
        <w:t>Tijdschrift@ipr.be</w:t>
      </w:r>
      <w:r w:rsidRPr="00D9458D">
        <w:rPr>
          <w:szCs w:val="20"/>
        </w:rPr>
        <w:t xml:space="preserve"> 2016, 74 en </w:t>
      </w:r>
      <w:r w:rsidRPr="00D9458D">
        <w:rPr>
          <w:i/>
          <w:iCs/>
          <w:szCs w:val="20"/>
        </w:rPr>
        <w:t>T.Vreemd.</w:t>
      </w:r>
      <w:r w:rsidRPr="00D9458D">
        <w:rPr>
          <w:szCs w:val="20"/>
        </w:rPr>
        <w:t xml:space="preserve"> 2016, 246.</w:t>
      </w:r>
    </w:p>
    <w:p w14:paraId="7688BE91" w14:textId="77777777" w:rsidR="00BD18A3" w:rsidRDefault="00BD18A3" w:rsidP="00BD18A3">
      <w:pPr>
        <w:rPr>
          <w:szCs w:val="20"/>
        </w:rPr>
      </w:pPr>
    </w:p>
    <w:p w14:paraId="7703A4C7" w14:textId="77777777" w:rsidR="00BD18A3" w:rsidRDefault="00BD18A3" w:rsidP="00BD18A3">
      <w:pPr>
        <w:pStyle w:val="Voetnoottekst"/>
        <w:spacing w:line="360" w:lineRule="auto"/>
      </w:pPr>
      <w:r w:rsidRPr="001B06DA">
        <w:t xml:space="preserve">Antwerpen 17 januari 2017, </w:t>
      </w:r>
      <w:r w:rsidRPr="001B06DA">
        <w:rPr>
          <w:i/>
          <w:iCs/>
        </w:rPr>
        <w:t>T.Fam.</w:t>
      </w:r>
      <w:r w:rsidRPr="001B06DA">
        <w:t xml:space="preserve"> 2018, afl. 2, 50, noot VAN THIENEN</w:t>
      </w:r>
      <w:r>
        <w:t>, A.</w:t>
      </w:r>
      <w:r w:rsidRPr="001B06DA">
        <w:t xml:space="preserve"> </w:t>
      </w:r>
    </w:p>
    <w:p w14:paraId="61D559E8" w14:textId="77777777" w:rsidR="00BD18A3" w:rsidRDefault="00BD18A3" w:rsidP="00BD18A3">
      <w:pPr>
        <w:pStyle w:val="Voetnoottekst"/>
        <w:spacing w:line="360" w:lineRule="auto"/>
      </w:pPr>
    </w:p>
    <w:p w14:paraId="50E6FD9C" w14:textId="77777777" w:rsidR="00BD18A3" w:rsidRPr="001B06DA" w:rsidRDefault="00BD18A3" w:rsidP="00BD18A3">
      <w:pPr>
        <w:pStyle w:val="Voetnoottekst"/>
        <w:spacing w:line="360" w:lineRule="auto"/>
      </w:pPr>
      <w:r w:rsidRPr="001B06DA">
        <w:t xml:space="preserve">Gent 14 februari 2019, </w:t>
      </w:r>
      <w:r w:rsidRPr="001B06DA">
        <w:rPr>
          <w:i/>
          <w:iCs/>
        </w:rPr>
        <w:t>Tijdschrift@ipr.be</w:t>
      </w:r>
      <w:r w:rsidRPr="001B06DA">
        <w:t xml:space="preserve"> 2021, afl. 2, 44</w:t>
      </w:r>
      <w:r>
        <w:t>.</w:t>
      </w:r>
    </w:p>
    <w:p w14:paraId="489C2BD4" w14:textId="77777777" w:rsidR="00BD18A3" w:rsidRDefault="00BD18A3" w:rsidP="00BD18A3">
      <w:pPr>
        <w:pStyle w:val="Voetnoottekst"/>
        <w:spacing w:line="360" w:lineRule="auto"/>
      </w:pPr>
    </w:p>
    <w:p w14:paraId="2A4A3BE8" w14:textId="77777777" w:rsidR="00BD18A3" w:rsidRDefault="00BD18A3" w:rsidP="00BD18A3">
      <w:pPr>
        <w:rPr>
          <w:szCs w:val="20"/>
        </w:rPr>
      </w:pPr>
      <w:r w:rsidRPr="009C74D8">
        <w:rPr>
          <w:szCs w:val="20"/>
        </w:rPr>
        <w:t xml:space="preserve">Gent 23 mei 2019. </w:t>
      </w:r>
      <w:r w:rsidRPr="009C74D8">
        <w:rPr>
          <w:i/>
          <w:iCs/>
          <w:szCs w:val="20"/>
        </w:rPr>
        <w:t xml:space="preserve">T.Not. </w:t>
      </w:r>
      <w:r w:rsidRPr="009C74D8">
        <w:rPr>
          <w:szCs w:val="20"/>
        </w:rPr>
        <w:t xml:space="preserve">2019, 834 en </w:t>
      </w:r>
      <w:r w:rsidRPr="009C74D8">
        <w:rPr>
          <w:i/>
          <w:iCs/>
          <w:szCs w:val="20"/>
        </w:rPr>
        <w:t xml:space="preserve">TEP </w:t>
      </w:r>
      <w:r w:rsidRPr="009C74D8">
        <w:rPr>
          <w:szCs w:val="20"/>
        </w:rPr>
        <w:t>2019, 777</w:t>
      </w:r>
      <w:r>
        <w:rPr>
          <w:szCs w:val="20"/>
        </w:rPr>
        <w:t>.</w:t>
      </w:r>
    </w:p>
    <w:p w14:paraId="7CE90F97" w14:textId="77777777" w:rsidR="00BD18A3" w:rsidRDefault="00BD18A3" w:rsidP="00BD18A3">
      <w:pPr>
        <w:rPr>
          <w:szCs w:val="20"/>
        </w:rPr>
      </w:pPr>
    </w:p>
    <w:p w14:paraId="14080BAB" w14:textId="77777777" w:rsidR="00BD18A3" w:rsidRDefault="00BD18A3" w:rsidP="00BD18A3">
      <w:pPr>
        <w:pStyle w:val="Voetnoottekst"/>
        <w:spacing w:line="360" w:lineRule="auto"/>
      </w:pPr>
      <w:r w:rsidRPr="001B06DA">
        <w:t xml:space="preserve">Gent 15 oktober 2020, </w:t>
      </w:r>
      <w:r w:rsidRPr="001B06DA">
        <w:rPr>
          <w:i/>
          <w:iCs/>
        </w:rPr>
        <w:t>Tijdschrift@ipr.be</w:t>
      </w:r>
      <w:r w:rsidRPr="001B06DA">
        <w:t xml:space="preserve"> 2021, afl. 2, 23.</w:t>
      </w:r>
    </w:p>
    <w:p w14:paraId="13B463AF" w14:textId="77777777" w:rsidR="00BD18A3" w:rsidRDefault="00BD18A3" w:rsidP="00BD18A3">
      <w:pPr>
        <w:pStyle w:val="Voetnoottekst"/>
        <w:spacing w:line="360" w:lineRule="auto"/>
      </w:pPr>
    </w:p>
    <w:p w14:paraId="0A60EBC5" w14:textId="77777777" w:rsidR="00BD18A3" w:rsidRPr="008C7903" w:rsidRDefault="00BD18A3" w:rsidP="00BD18A3">
      <w:r w:rsidRPr="008C7903">
        <w:t xml:space="preserve">Gent 6 december 2022, </w:t>
      </w:r>
      <w:r w:rsidRPr="008C7903">
        <w:rPr>
          <w:i/>
          <w:iCs/>
        </w:rPr>
        <w:t xml:space="preserve">RW </w:t>
      </w:r>
      <w:r w:rsidRPr="008C7903">
        <w:t>2022-23, 1116.</w:t>
      </w:r>
    </w:p>
    <w:p w14:paraId="4341AB13" w14:textId="77777777" w:rsidR="00BD18A3" w:rsidRDefault="00BD18A3" w:rsidP="00BD18A3">
      <w:pPr>
        <w:rPr>
          <w:sz w:val="22"/>
          <w:szCs w:val="22"/>
        </w:rPr>
      </w:pPr>
    </w:p>
    <w:p w14:paraId="494CCED2" w14:textId="77777777" w:rsidR="00BD18A3" w:rsidRPr="008C7903" w:rsidRDefault="00BD18A3" w:rsidP="00BD18A3">
      <w:r w:rsidRPr="008C7903">
        <w:t xml:space="preserve">Vred. Zomergem 27 mei 2005, </w:t>
      </w:r>
      <w:r w:rsidRPr="008C7903">
        <w:rPr>
          <w:i/>
          <w:iCs/>
        </w:rPr>
        <w:t xml:space="preserve">T.Not. </w:t>
      </w:r>
      <w:r w:rsidRPr="008C7903">
        <w:t xml:space="preserve">2005, 495 en </w:t>
      </w:r>
      <w:r w:rsidRPr="008C7903">
        <w:rPr>
          <w:i/>
          <w:iCs/>
        </w:rPr>
        <w:t xml:space="preserve">T.Vred. </w:t>
      </w:r>
      <w:r w:rsidRPr="008C7903">
        <w:t>2007, 345</w:t>
      </w:r>
      <w:r>
        <w:t>.</w:t>
      </w:r>
    </w:p>
    <w:p w14:paraId="22A71CBE" w14:textId="77777777" w:rsidR="00BD18A3" w:rsidRPr="009C74D8" w:rsidRDefault="00BD18A3" w:rsidP="00BD18A3">
      <w:pPr>
        <w:rPr>
          <w:sz w:val="22"/>
          <w:szCs w:val="22"/>
        </w:rPr>
      </w:pPr>
    </w:p>
    <w:p w14:paraId="00065F52" w14:textId="77777777" w:rsidR="00BD18A3" w:rsidRDefault="00BD18A3" w:rsidP="00BD18A3">
      <w:pPr>
        <w:rPr>
          <w:szCs w:val="20"/>
        </w:rPr>
      </w:pPr>
      <w:r w:rsidRPr="008C7903">
        <w:rPr>
          <w:szCs w:val="20"/>
        </w:rPr>
        <w:t xml:space="preserve">Vred. Zelzate 7 juli 2009, </w:t>
      </w:r>
      <w:r w:rsidRPr="008C7903">
        <w:rPr>
          <w:i/>
          <w:iCs/>
          <w:szCs w:val="20"/>
        </w:rPr>
        <w:t>J.dr.jeun</w:t>
      </w:r>
      <w:r w:rsidRPr="008C7903">
        <w:rPr>
          <w:szCs w:val="20"/>
        </w:rPr>
        <w:t xml:space="preserve">. 2013, afl. 312, 45, </w:t>
      </w:r>
      <w:r w:rsidRPr="008C7903">
        <w:rPr>
          <w:i/>
          <w:iCs/>
          <w:szCs w:val="20"/>
        </w:rPr>
        <w:t>RTDF</w:t>
      </w:r>
      <w:r w:rsidRPr="008C7903">
        <w:rPr>
          <w:szCs w:val="20"/>
        </w:rPr>
        <w:t xml:space="preserve"> 2012, 876, </w:t>
      </w:r>
      <w:r w:rsidRPr="008C7903">
        <w:rPr>
          <w:i/>
          <w:iCs/>
          <w:szCs w:val="20"/>
        </w:rPr>
        <w:t>T.Vred.</w:t>
      </w:r>
      <w:r w:rsidRPr="008C7903">
        <w:rPr>
          <w:szCs w:val="20"/>
        </w:rPr>
        <w:t xml:space="preserve"> 2012, 27 en </w:t>
      </w:r>
      <w:r w:rsidRPr="008C7903">
        <w:rPr>
          <w:i/>
          <w:iCs/>
          <w:szCs w:val="20"/>
        </w:rPr>
        <w:t>RW</w:t>
      </w:r>
      <w:r w:rsidRPr="008C7903">
        <w:rPr>
          <w:szCs w:val="20"/>
        </w:rPr>
        <w:t xml:space="preserve"> 2012-13, 627, noot EGGERMONT</w:t>
      </w:r>
      <w:r>
        <w:rPr>
          <w:szCs w:val="20"/>
        </w:rPr>
        <w:t>, S</w:t>
      </w:r>
      <w:r w:rsidRPr="008C7903">
        <w:rPr>
          <w:szCs w:val="20"/>
        </w:rPr>
        <w:t>.</w:t>
      </w:r>
    </w:p>
    <w:p w14:paraId="0F838C68" w14:textId="77777777" w:rsidR="00BD18A3" w:rsidRDefault="00BD18A3" w:rsidP="00BD18A3">
      <w:pPr>
        <w:pStyle w:val="Voetnoottekst"/>
        <w:spacing w:line="360" w:lineRule="auto"/>
      </w:pPr>
    </w:p>
    <w:p w14:paraId="44AE2D6D" w14:textId="77777777" w:rsidR="00BD18A3" w:rsidRDefault="00BD18A3" w:rsidP="00BD18A3">
      <w:pPr>
        <w:rPr>
          <w:szCs w:val="20"/>
        </w:rPr>
      </w:pPr>
      <w:r w:rsidRPr="008C7903">
        <w:rPr>
          <w:szCs w:val="20"/>
        </w:rPr>
        <w:t xml:space="preserve">Vred. Brussel 11 augustus 2009, </w:t>
      </w:r>
      <w:r w:rsidRPr="008C7903">
        <w:rPr>
          <w:i/>
          <w:iCs/>
          <w:szCs w:val="20"/>
        </w:rPr>
        <w:t>JT</w:t>
      </w:r>
      <w:r w:rsidRPr="008C7903">
        <w:rPr>
          <w:szCs w:val="20"/>
        </w:rPr>
        <w:t xml:space="preserve"> 2010, 14.</w:t>
      </w:r>
    </w:p>
    <w:p w14:paraId="69118635" w14:textId="77777777" w:rsidR="00BD18A3" w:rsidRDefault="00BD18A3" w:rsidP="00BD18A3">
      <w:pPr>
        <w:rPr>
          <w:szCs w:val="20"/>
        </w:rPr>
      </w:pPr>
    </w:p>
    <w:p w14:paraId="60567E30" w14:textId="77777777" w:rsidR="00BD18A3" w:rsidRDefault="00BD18A3" w:rsidP="00BD18A3">
      <w:r w:rsidRPr="008C7903">
        <w:t xml:space="preserve">Vred. Fléron 17 juni 2013, </w:t>
      </w:r>
      <w:r w:rsidRPr="008C7903">
        <w:rPr>
          <w:i/>
          <w:iCs/>
        </w:rPr>
        <w:t xml:space="preserve">T.Vred. </w:t>
      </w:r>
      <w:r w:rsidRPr="008C7903">
        <w:t>2014, 38</w:t>
      </w:r>
      <w:r>
        <w:t>.</w:t>
      </w:r>
    </w:p>
    <w:p w14:paraId="7133D698" w14:textId="77777777" w:rsidR="00BD18A3" w:rsidRDefault="00BD18A3" w:rsidP="00BD18A3">
      <w:pPr>
        <w:pStyle w:val="Kop2"/>
      </w:pPr>
      <w:bookmarkStart w:id="99" w:name="_Toc167990520"/>
      <w:r>
        <w:lastRenderedPageBreak/>
        <w:t>Rechtsleer</w:t>
      </w:r>
      <w:bookmarkEnd w:id="99"/>
    </w:p>
    <w:p w14:paraId="6CBC7948" w14:textId="77777777" w:rsidR="00BD18A3" w:rsidRDefault="00BD18A3" w:rsidP="00BD18A3">
      <w:pPr>
        <w:rPr>
          <w:szCs w:val="20"/>
        </w:rPr>
      </w:pPr>
      <w:r w:rsidRPr="008C7903">
        <w:rPr>
          <w:szCs w:val="20"/>
        </w:rPr>
        <w:t>ALOFS,</w:t>
      </w:r>
      <w:r>
        <w:rPr>
          <w:szCs w:val="20"/>
        </w:rPr>
        <w:t xml:space="preserve"> E.,</w:t>
      </w:r>
      <w:r w:rsidRPr="008C7903">
        <w:rPr>
          <w:szCs w:val="20"/>
        </w:rPr>
        <w:t xml:space="preserve"> “De uitbreiding van de schadeloosstelling overeenkomstig resp. regelingen inzake arbeidsongevallen, beroepsziekten en het asbestfonds naar wettelijk samenwonende partners”, </w:t>
      </w:r>
      <w:r w:rsidRPr="008C7903">
        <w:rPr>
          <w:i/>
          <w:iCs/>
          <w:szCs w:val="20"/>
        </w:rPr>
        <w:t xml:space="preserve">NFM </w:t>
      </w:r>
      <w:r w:rsidRPr="008C7903">
        <w:rPr>
          <w:szCs w:val="20"/>
        </w:rPr>
        <w:t>2009, 311-327</w:t>
      </w:r>
      <w:r>
        <w:rPr>
          <w:szCs w:val="20"/>
        </w:rPr>
        <w:t>.</w:t>
      </w:r>
    </w:p>
    <w:p w14:paraId="1585A6EF" w14:textId="77777777" w:rsidR="00BD18A3" w:rsidRDefault="00BD18A3" w:rsidP="00BD18A3">
      <w:pPr>
        <w:rPr>
          <w:szCs w:val="20"/>
        </w:rPr>
      </w:pPr>
    </w:p>
    <w:p w14:paraId="4361E854" w14:textId="77777777" w:rsidR="00BD18A3" w:rsidRPr="00ED4CA6" w:rsidRDefault="00BD18A3" w:rsidP="00BD18A3">
      <w:pPr>
        <w:pStyle w:val="Voetnoottekst"/>
        <w:spacing w:line="360" w:lineRule="auto"/>
        <w:rPr>
          <w:szCs w:val="24"/>
        </w:rPr>
      </w:pPr>
      <w:r w:rsidRPr="00037F0F">
        <w:t>ALOFS,</w:t>
      </w:r>
      <w:r>
        <w:t xml:space="preserve"> E., </w:t>
      </w:r>
      <w:r w:rsidRPr="00037F0F">
        <w:t>DE DECKER</w:t>
      </w:r>
      <w:r>
        <w:t>, P.-J.</w:t>
      </w:r>
      <w:r w:rsidRPr="00037F0F">
        <w:t xml:space="preserve"> en</w:t>
      </w:r>
      <w:r>
        <w:t xml:space="preserve"> </w:t>
      </w:r>
      <w:r w:rsidRPr="00037F0F">
        <w:t>VANDENBOSCH</w:t>
      </w:r>
      <w:r>
        <w:t xml:space="preserve"> A.-S.</w:t>
      </w:r>
      <w:r w:rsidRPr="00037F0F">
        <w:t xml:space="preserve">, </w:t>
      </w:r>
      <w:r w:rsidRPr="00037F0F">
        <w:rPr>
          <w:i/>
          <w:iCs/>
          <w:szCs w:val="24"/>
        </w:rPr>
        <w:t>Vereffening en verdeling: Studentensyllabus,</w:t>
      </w:r>
      <w:r w:rsidRPr="00037F0F">
        <w:rPr>
          <w:szCs w:val="24"/>
        </w:rPr>
        <w:t xml:space="preserve"> Antwerpen,</w:t>
      </w:r>
      <w:r w:rsidRPr="00037F0F">
        <w:rPr>
          <w:i/>
          <w:iCs/>
          <w:szCs w:val="24"/>
        </w:rPr>
        <w:t xml:space="preserve"> </w:t>
      </w:r>
      <w:r w:rsidRPr="00037F0F">
        <w:rPr>
          <w:szCs w:val="24"/>
        </w:rPr>
        <w:t xml:space="preserve">Intersentia, 2021, </w:t>
      </w:r>
      <w:r>
        <w:rPr>
          <w:szCs w:val="24"/>
        </w:rPr>
        <w:t>420 p</w:t>
      </w:r>
      <w:r w:rsidRPr="00037F0F">
        <w:rPr>
          <w:szCs w:val="24"/>
        </w:rPr>
        <w:t>.</w:t>
      </w:r>
    </w:p>
    <w:p w14:paraId="1E1ABFA0" w14:textId="77777777" w:rsidR="00BD18A3" w:rsidRDefault="00BD18A3" w:rsidP="00BD18A3">
      <w:pPr>
        <w:rPr>
          <w:szCs w:val="20"/>
        </w:rPr>
      </w:pPr>
    </w:p>
    <w:p w14:paraId="03362031" w14:textId="77777777" w:rsidR="00BD18A3" w:rsidRPr="009278EC" w:rsidRDefault="00BD18A3" w:rsidP="00BD18A3">
      <w:pPr>
        <w:pStyle w:val="Voetnoottekst"/>
        <w:spacing w:line="360" w:lineRule="auto"/>
        <w:rPr>
          <w:szCs w:val="24"/>
          <w:lang w:val="nl-NL"/>
        </w:rPr>
      </w:pPr>
      <w:r w:rsidRPr="009C74D8">
        <w:rPr>
          <w:szCs w:val="24"/>
          <w:lang w:val="nl-NL"/>
        </w:rPr>
        <w:t>BARBAIX,</w:t>
      </w:r>
      <w:r>
        <w:rPr>
          <w:szCs w:val="24"/>
          <w:lang w:val="nl-NL"/>
        </w:rPr>
        <w:t xml:space="preserve"> R.,</w:t>
      </w:r>
      <w:r w:rsidRPr="009C74D8">
        <w:rPr>
          <w:szCs w:val="24"/>
          <w:lang w:val="nl-NL"/>
        </w:rPr>
        <w:t xml:space="preserve"> </w:t>
      </w:r>
      <w:r w:rsidRPr="009C74D8">
        <w:rPr>
          <w:i/>
          <w:iCs/>
          <w:szCs w:val="24"/>
          <w:lang w:val="nl-NL"/>
        </w:rPr>
        <w:t>Handboek familiaal vermogensrecht</w:t>
      </w:r>
      <w:r w:rsidRPr="009C74D8">
        <w:rPr>
          <w:szCs w:val="24"/>
          <w:lang w:val="nl-NL"/>
        </w:rPr>
        <w:t xml:space="preserve">, Antwerpen, </w:t>
      </w:r>
      <w:proofErr w:type="spellStart"/>
      <w:r w:rsidRPr="009C74D8">
        <w:rPr>
          <w:szCs w:val="24"/>
          <w:lang w:val="nl-NL"/>
        </w:rPr>
        <w:t>Intersentia</w:t>
      </w:r>
      <w:proofErr w:type="spellEnd"/>
      <w:r w:rsidRPr="009C74D8">
        <w:rPr>
          <w:szCs w:val="24"/>
          <w:lang w:val="nl-NL"/>
        </w:rPr>
        <w:t xml:space="preserve">, 2018, </w:t>
      </w:r>
      <w:r>
        <w:rPr>
          <w:szCs w:val="24"/>
          <w:lang w:val="nl-NL"/>
        </w:rPr>
        <w:t>1025 p.</w:t>
      </w:r>
    </w:p>
    <w:p w14:paraId="4E7D9AB8" w14:textId="77777777" w:rsidR="00BD18A3" w:rsidRPr="00D108EA" w:rsidRDefault="00BD18A3" w:rsidP="00BD18A3">
      <w:pPr>
        <w:rPr>
          <w:szCs w:val="20"/>
        </w:rPr>
      </w:pPr>
    </w:p>
    <w:p w14:paraId="43A5510C" w14:textId="77777777" w:rsidR="00BD18A3" w:rsidRDefault="00BD18A3" w:rsidP="00BD18A3">
      <w:r w:rsidRPr="00D108EA">
        <w:rPr>
          <w:lang w:val="fr-BE"/>
        </w:rPr>
        <w:t xml:space="preserve">BOONE, I., DU MONGH, J. en </w:t>
      </w:r>
      <w:r w:rsidRPr="00D108EA">
        <w:t>VERBEKE, A.-L.,</w:t>
      </w:r>
      <w:r w:rsidRPr="00D108EA">
        <w:rPr>
          <w:i/>
          <w:iCs/>
        </w:rPr>
        <w:t xml:space="preserve"> Personen-, familie- en relatievermogensrecht, </w:t>
      </w:r>
      <w:r w:rsidRPr="00D108EA">
        <w:t>Leuven, Acco, 2020, 450 p.</w:t>
      </w:r>
    </w:p>
    <w:p w14:paraId="38231FCA" w14:textId="77777777" w:rsidR="00BD18A3" w:rsidRDefault="00BD18A3" w:rsidP="00BD18A3"/>
    <w:p w14:paraId="36874779" w14:textId="77777777" w:rsidR="00BD18A3" w:rsidRPr="002A5258" w:rsidRDefault="00BD18A3" w:rsidP="00BD18A3">
      <w:pPr>
        <w:rPr>
          <w:szCs w:val="20"/>
        </w:rPr>
      </w:pPr>
      <w:r w:rsidRPr="008C7903">
        <w:rPr>
          <w:szCs w:val="20"/>
        </w:rPr>
        <w:t>BROUWERS,</w:t>
      </w:r>
      <w:r>
        <w:rPr>
          <w:szCs w:val="20"/>
        </w:rPr>
        <w:t xml:space="preserve"> S.,</w:t>
      </w:r>
      <w:r w:rsidRPr="008C7903">
        <w:rPr>
          <w:szCs w:val="20"/>
        </w:rPr>
        <w:t xml:space="preserve"> “Voorlopige maatregelen voor wettelijk samenwonenden: de maximumduur van één jaar is 263 ongrondwettelijk (noot onder GwH 6 december, 2018)”, </w:t>
      </w:r>
      <w:r w:rsidRPr="008C7903">
        <w:rPr>
          <w:i/>
          <w:iCs/>
          <w:szCs w:val="20"/>
        </w:rPr>
        <w:t>NFM</w:t>
      </w:r>
      <w:r w:rsidRPr="008C7903">
        <w:rPr>
          <w:szCs w:val="20"/>
        </w:rPr>
        <w:t xml:space="preserve"> 2019, 166-167.</w:t>
      </w:r>
    </w:p>
    <w:p w14:paraId="7ECDC48B" w14:textId="77777777" w:rsidR="00BD18A3" w:rsidRDefault="00BD18A3" w:rsidP="00BD18A3"/>
    <w:p w14:paraId="36FA15A9" w14:textId="77777777" w:rsidR="00BD18A3" w:rsidRDefault="00BD18A3" w:rsidP="00BD18A3">
      <w:r w:rsidRPr="004B563D">
        <w:t>CASMAN,</w:t>
      </w:r>
      <w:r>
        <w:t xml:space="preserve"> H.,</w:t>
      </w:r>
      <w:r w:rsidRPr="004B563D">
        <w:t xml:space="preserve"> “Erfrecht voor de langstlevende wettelijk samenwonende partner”, in</w:t>
      </w:r>
      <w:r>
        <w:t xml:space="preserve"> </w:t>
      </w:r>
      <w:r w:rsidRPr="004B563D">
        <w:t>DE BUSSCHER,</w:t>
      </w:r>
      <w:r>
        <w:t xml:space="preserve"> M., </w:t>
      </w:r>
      <w:r w:rsidRPr="004B563D">
        <w:t>DE GROOTE,</w:t>
      </w:r>
      <w:r>
        <w:t xml:space="preserve"> B., </w:t>
      </w:r>
      <w:r w:rsidRPr="004B563D">
        <w:t>DE PUYDT,</w:t>
      </w:r>
      <w:r>
        <w:t xml:space="preserve"> J., </w:t>
      </w:r>
      <w:r w:rsidRPr="004B563D">
        <w:t>DOOLAEGE,</w:t>
      </w:r>
      <w:r>
        <w:t xml:space="preserve"> A., </w:t>
      </w:r>
      <w:r w:rsidRPr="004B563D">
        <w:t>FORRIER,</w:t>
      </w:r>
      <w:r>
        <w:t xml:space="preserve"> E., </w:t>
      </w:r>
      <w:r w:rsidRPr="004B563D">
        <w:t>TAELMAN</w:t>
      </w:r>
      <w:r>
        <w:t>, P.</w:t>
      </w:r>
      <w:r w:rsidRPr="004B563D">
        <w:t xml:space="preserve"> en VAN EECKHOUTTE,</w:t>
      </w:r>
      <w:r>
        <w:t xml:space="preserve"> W. (eds.),</w:t>
      </w:r>
      <w:r w:rsidRPr="004B563D">
        <w:t xml:space="preserve"> </w:t>
      </w:r>
      <w:r w:rsidRPr="004B563D">
        <w:rPr>
          <w:i/>
          <w:iCs/>
        </w:rPr>
        <w:t>Kan dit nog? Liber amicorum Rogier De Corte</w:t>
      </w:r>
      <w:r w:rsidRPr="004B563D">
        <w:t xml:space="preserve">, Mechelen, 2007, </w:t>
      </w:r>
      <w:r>
        <w:t>59-83.</w:t>
      </w:r>
    </w:p>
    <w:p w14:paraId="331DD654" w14:textId="77777777" w:rsidR="00BD18A3" w:rsidRDefault="00BD18A3" w:rsidP="00BD18A3"/>
    <w:p w14:paraId="1AB41781" w14:textId="77777777" w:rsidR="00BD18A3" w:rsidRDefault="00BD18A3" w:rsidP="00BD18A3">
      <w:pPr>
        <w:pStyle w:val="Voetnoottekst"/>
        <w:spacing w:line="360" w:lineRule="auto"/>
        <w:rPr>
          <w:lang w:val="nl-NL"/>
        </w:rPr>
      </w:pPr>
      <w:r w:rsidRPr="008B010E">
        <w:rPr>
          <w:lang w:val="nl-NL"/>
        </w:rPr>
        <w:t>CLAEYS,</w:t>
      </w:r>
      <w:r>
        <w:rPr>
          <w:lang w:val="nl-NL"/>
        </w:rPr>
        <w:t xml:space="preserve"> I., </w:t>
      </w:r>
      <w:r w:rsidRPr="008B010E">
        <w:rPr>
          <w:i/>
          <w:iCs/>
          <w:lang w:val="nl-NL"/>
        </w:rPr>
        <w:t xml:space="preserve">Verbintenissenrecht, </w:t>
      </w:r>
      <w:proofErr w:type="spellStart"/>
      <w:r w:rsidRPr="008B010E">
        <w:rPr>
          <w:i/>
          <w:iCs/>
          <w:lang w:val="nl-NL"/>
        </w:rPr>
        <w:t>s.l</w:t>
      </w:r>
      <w:proofErr w:type="spellEnd"/>
      <w:r w:rsidRPr="008B010E">
        <w:rPr>
          <w:i/>
          <w:iCs/>
          <w:lang w:val="nl-NL"/>
        </w:rPr>
        <w:t xml:space="preserve">., </w:t>
      </w:r>
      <w:r w:rsidRPr="008B010E">
        <w:rPr>
          <w:lang w:val="nl-NL"/>
        </w:rPr>
        <w:t xml:space="preserve">2017, </w:t>
      </w:r>
      <w:r>
        <w:rPr>
          <w:lang w:val="nl-NL"/>
        </w:rPr>
        <w:t>319 p</w:t>
      </w:r>
      <w:r w:rsidRPr="008B010E">
        <w:rPr>
          <w:lang w:val="nl-NL"/>
        </w:rPr>
        <w:t>.</w:t>
      </w:r>
    </w:p>
    <w:p w14:paraId="09F6722E" w14:textId="77777777" w:rsidR="00BD18A3" w:rsidRDefault="00BD18A3" w:rsidP="00BD18A3">
      <w:pPr>
        <w:rPr>
          <w:lang w:val="nl-NL"/>
        </w:rPr>
      </w:pPr>
    </w:p>
    <w:p w14:paraId="4E86F8AC" w14:textId="77777777" w:rsidR="00BD18A3" w:rsidRPr="00A918F3" w:rsidRDefault="00BD18A3" w:rsidP="00BD18A3">
      <w:pPr>
        <w:pStyle w:val="Voetnoottekst"/>
        <w:spacing w:line="360" w:lineRule="auto"/>
        <w:rPr>
          <w:sz w:val="22"/>
          <w:szCs w:val="22"/>
          <w:lang w:val="en-US"/>
        </w:rPr>
      </w:pPr>
      <w:r w:rsidRPr="00A918F3">
        <w:rPr>
          <w:lang w:val="en-US"/>
        </w:rPr>
        <w:t xml:space="preserve">COPPENS, M., </w:t>
      </w:r>
      <w:proofErr w:type="spellStart"/>
      <w:r w:rsidRPr="00A918F3">
        <w:rPr>
          <w:i/>
          <w:iCs/>
          <w:lang w:val="en-US"/>
        </w:rPr>
        <w:t>Praktijkgids</w:t>
      </w:r>
      <w:proofErr w:type="spellEnd"/>
      <w:r w:rsidRPr="00A918F3">
        <w:rPr>
          <w:i/>
          <w:iCs/>
          <w:lang w:val="en-US"/>
        </w:rPr>
        <w:t xml:space="preserve"> </w:t>
      </w:r>
      <w:proofErr w:type="spellStart"/>
      <w:r w:rsidRPr="00A918F3">
        <w:rPr>
          <w:i/>
          <w:iCs/>
          <w:lang w:val="en-US"/>
        </w:rPr>
        <w:t>Sociaal</w:t>
      </w:r>
      <w:proofErr w:type="spellEnd"/>
      <w:r w:rsidRPr="00A918F3">
        <w:rPr>
          <w:i/>
          <w:iCs/>
          <w:lang w:val="en-US"/>
        </w:rPr>
        <w:t xml:space="preserve"> </w:t>
      </w:r>
      <w:proofErr w:type="spellStart"/>
      <w:r w:rsidRPr="00A918F3">
        <w:rPr>
          <w:i/>
          <w:iCs/>
          <w:lang w:val="en-US"/>
        </w:rPr>
        <w:t>Recht</w:t>
      </w:r>
      <w:proofErr w:type="spellEnd"/>
      <w:r w:rsidRPr="00A918F3">
        <w:rPr>
          <w:i/>
          <w:iCs/>
          <w:lang w:val="en-US"/>
        </w:rPr>
        <w:t xml:space="preserve"> 2022-2023, </w:t>
      </w:r>
      <w:r w:rsidRPr="00A918F3">
        <w:rPr>
          <w:lang w:val="en-US"/>
        </w:rPr>
        <w:t>Gent, Story Publishers, 2022, 1691 p.</w:t>
      </w:r>
    </w:p>
    <w:p w14:paraId="2AFEAD89" w14:textId="77777777" w:rsidR="00BD18A3" w:rsidRPr="00A918F3" w:rsidRDefault="00BD18A3" w:rsidP="00BD18A3">
      <w:pPr>
        <w:rPr>
          <w:lang w:val="en-US"/>
        </w:rPr>
      </w:pPr>
    </w:p>
    <w:p w14:paraId="07542C73" w14:textId="77777777" w:rsidR="00BD18A3" w:rsidRPr="00A918F3" w:rsidRDefault="00BD18A3" w:rsidP="00BD18A3">
      <w:pPr>
        <w:rPr>
          <w:szCs w:val="20"/>
        </w:rPr>
      </w:pPr>
      <w:r w:rsidRPr="00981847">
        <w:rPr>
          <w:szCs w:val="20"/>
          <w:lang w:val="en-US"/>
        </w:rPr>
        <w:t>DANDOY,</w:t>
      </w:r>
      <w:r>
        <w:rPr>
          <w:szCs w:val="20"/>
          <w:lang w:val="en-US"/>
        </w:rPr>
        <w:t xml:space="preserve"> N.,</w:t>
      </w:r>
      <w:r w:rsidRPr="00981847">
        <w:rPr>
          <w:szCs w:val="20"/>
          <w:lang w:val="en-US"/>
        </w:rPr>
        <w:t xml:space="preserve"> “Les </w:t>
      </w:r>
      <w:proofErr w:type="spellStart"/>
      <w:r w:rsidRPr="00981847">
        <w:rPr>
          <w:szCs w:val="20"/>
          <w:lang w:val="en-US"/>
        </w:rPr>
        <w:t>effets</w:t>
      </w:r>
      <w:proofErr w:type="spellEnd"/>
      <w:r w:rsidRPr="00981847">
        <w:rPr>
          <w:szCs w:val="20"/>
          <w:lang w:val="en-US"/>
        </w:rPr>
        <w:t xml:space="preserve"> </w:t>
      </w:r>
      <w:proofErr w:type="spellStart"/>
      <w:r w:rsidRPr="00981847">
        <w:rPr>
          <w:szCs w:val="20"/>
          <w:lang w:val="en-US"/>
        </w:rPr>
        <w:t>alimentaires</w:t>
      </w:r>
      <w:proofErr w:type="spellEnd"/>
      <w:r w:rsidRPr="00981847">
        <w:rPr>
          <w:szCs w:val="20"/>
          <w:lang w:val="en-US"/>
        </w:rPr>
        <w:t xml:space="preserve"> de la vie </w:t>
      </w:r>
      <w:proofErr w:type="spellStart"/>
      <w:r w:rsidRPr="00981847">
        <w:rPr>
          <w:szCs w:val="20"/>
          <w:lang w:val="en-US"/>
        </w:rPr>
        <w:t>en</w:t>
      </w:r>
      <w:proofErr w:type="spellEnd"/>
      <w:r w:rsidRPr="00981847">
        <w:rPr>
          <w:szCs w:val="20"/>
          <w:lang w:val="en-US"/>
        </w:rPr>
        <w:t xml:space="preserve"> couple” in HAUSER</w:t>
      </w:r>
      <w:r>
        <w:rPr>
          <w:szCs w:val="20"/>
          <w:lang w:val="en-US"/>
        </w:rPr>
        <w:t>, J.</w:t>
      </w:r>
      <w:r w:rsidRPr="00981847">
        <w:rPr>
          <w:szCs w:val="20"/>
          <w:lang w:val="en-US"/>
        </w:rPr>
        <w:t xml:space="preserve"> </w:t>
      </w:r>
      <w:proofErr w:type="spellStart"/>
      <w:r w:rsidRPr="00981847">
        <w:rPr>
          <w:szCs w:val="20"/>
          <w:lang w:val="en-US"/>
        </w:rPr>
        <w:t>en</w:t>
      </w:r>
      <w:proofErr w:type="spellEnd"/>
      <w:r>
        <w:rPr>
          <w:szCs w:val="20"/>
          <w:lang w:val="en-US"/>
        </w:rPr>
        <w:t xml:space="preserve"> </w:t>
      </w:r>
      <w:r w:rsidRPr="00981847">
        <w:rPr>
          <w:szCs w:val="20"/>
          <w:lang w:val="en-US"/>
        </w:rPr>
        <w:t>RENCHON</w:t>
      </w:r>
      <w:r>
        <w:rPr>
          <w:szCs w:val="20"/>
          <w:lang w:val="en-US"/>
        </w:rPr>
        <w:t>, J.-L.</w:t>
      </w:r>
      <w:r w:rsidRPr="00981847">
        <w:rPr>
          <w:szCs w:val="20"/>
          <w:lang w:val="en-US"/>
        </w:rPr>
        <w:t xml:space="preserve"> (eds.), </w:t>
      </w:r>
      <w:proofErr w:type="spellStart"/>
      <w:r w:rsidRPr="00981847">
        <w:rPr>
          <w:i/>
          <w:iCs/>
          <w:szCs w:val="20"/>
          <w:lang w:val="en-US"/>
        </w:rPr>
        <w:t>Différenciation</w:t>
      </w:r>
      <w:proofErr w:type="spellEnd"/>
      <w:r w:rsidRPr="00981847">
        <w:rPr>
          <w:i/>
          <w:iCs/>
          <w:szCs w:val="20"/>
          <w:lang w:val="en-US"/>
        </w:rPr>
        <w:t xml:space="preserve"> </w:t>
      </w:r>
      <w:proofErr w:type="spellStart"/>
      <w:r w:rsidRPr="00981847">
        <w:rPr>
          <w:i/>
          <w:iCs/>
          <w:szCs w:val="20"/>
          <w:lang w:val="en-US"/>
        </w:rPr>
        <w:t>ou</w:t>
      </w:r>
      <w:proofErr w:type="spellEnd"/>
      <w:r w:rsidRPr="00981847">
        <w:rPr>
          <w:i/>
          <w:iCs/>
          <w:szCs w:val="20"/>
          <w:lang w:val="en-US"/>
        </w:rPr>
        <w:t xml:space="preserve"> convergence des </w:t>
      </w:r>
      <w:proofErr w:type="spellStart"/>
      <w:r w:rsidRPr="00981847">
        <w:rPr>
          <w:i/>
          <w:iCs/>
          <w:szCs w:val="20"/>
          <w:lang w:val="en-US"/>
        </w:rPr>
        <w:t>statuts</w:t>
      </w:r>
      <w:proofErr w:type="spellEnd"/>
      <w:r w:rsidRPr="00981847">
        <w:rPr>
          <w:i/>
          <w:iCs/>
          <w:szCs w:val="20"/>
          <w:lang w:val="en-US"/>
        </w:rPr>
        <w:t xml:space="preserve"> </w:t>
      </w:r>
      <w:proofErr w:type="spellStart"/>
      <w:r w:rsidRPr="00981847">
        <w:rPr>
          <w:i/>
          <w:iCs/>
          <w:szCs w:val="20"/>
          <w:lang w:val="en-US"/>
        </w:rPr>
        <w:t>juridiques</w:t>
      </w:r>
      <w:proofErr w:type="spellEnd"/>
      <w:r w:rsidRPr="00981847">
        <w:rPr>
          <w:i/>
          <w:iCs/>
          <w:szCs w:val="20"/>
          <w:lang w:val="en-US"/>
        </w:rPr>
        <w:t xml:space="preserve"> du couple </w:t>
      </w:r>
      <w:proofErr w:type="spellStart"/>
      <w:r w:rsidRPr="00981847">
        <w:rPr>
          <w:i/>
          <w:iCs/>
          <w:szCs w:val="20"/>
          <w:lang w:val="en-US"/>
        </w:rPr>
        <w:t>marié</w:t>
      </w:r>
      <w:proofErr w:type="spellEnd"/>
      <w:r w:rsidRPr="00981847">
        <w:rPr>
          <w:i/>
          <w:iCs/>
          <w:szCs w:val="20"/>
          <w:lang w:val="en-US"/>
        </w:rPr>
        <w:t xml:space="preserve"> et du couple non </w:t>
      </w:r>
      <w:proofErr w:type="spellStart"/>
      <w:r w:rsidRPr="00981847">
        <w:rPr>
          <w:i/>
          <w:iCs/>
          <w:szCs w:val="20"/>
          <w:lang w:val="en-US"/>
        </w:rPr>
        <w:t>marié</w:t>
      </w:r>
      <w:proofErr w:type="spellEnd"/>
      <w:r w:rsidRPr="00981847">
        <w:rPr>
          <w:i/>
          <w:iCs/>
          <w:szCs w:val="20"/>
          <w:lang w:val="en-US"/>
        </w:rPr>
        <w:t xml:space="preserve">? </w:t>
      </w:r>
      <w:r w:rsidRPr="00A918F3">
        <w:rPr>
          <w:i/>
          <w:iCs/>
          <w:szCs w:val="20"/>
        </w:rPr>
        <w:t xml:space="preserve">Droit belge et </w:t>
      </w:r>
      <w:r w:rsidRPr="00A918F3">
        <w:rPr>
          <w:szCs w:val="20"/>
        </w:rPr>
        <w:t>français, Brussel, Bruylant, 2005, 59-92.</w:t>
      </w:r>
    </w:p>
    <w:p w14:paraId="4339FCC9" w14:textId="77777777" w:rsidR="00BD18A3" w:rsidRPr="00A918F3" w:rsidRDefault="00BD18A3" w:rsidP="00BD18A3">
      <w:pPr>
        <w:rPr>
          <w:szCs w:val="20"/>
        </w:rPr>
      </w:pPr>
    </w:p>
    <w:p w14:paraId="22A39006" w14:textId="77777777" w:rsidR="00BD18A3" w:rsidRPr="002A5258" w:rsidRDefault="00BD18A3" w:rsidP="00BD18A3">
      <w:r w:rsidRPr="00684D37">
        <w:t>DEBOOSERE,</w:t>
      </w:r>
      <w:r>
        <w:t xml:space="preserve"> P., </w:t>
      </w:r>
      <w:r w:rsidRPr="00684D37">
        <w:t>LESTHAEGHE,</w:t>
      </w:r>
      <w:r>
        <w:t xml:space="preserve"> R., </w:t>
      </w:r>
      <w:r w:rsidRPr="00684D37">
        <w:t>SURKYN,</w:t>
      </w:r>
      <w:r>
        <w:t xml:space="preserve"> J.,</w:t>
      </w:r>
      <w:r w:rsidRPr="00684D37">
        <w:t xml:space="preserve"> BOULANGER,</w:t>
      </w:r>
      <w:r>
        <w:t xml:space="preserve"> P.-M en </w:t>
      </w:r>
      <w:r w:rsidRPr="00684D37">
        <w:t>LAMBERT,</w:t>
      </w:r>
      <w:r>
        <w:t xml:space="preserve"> A.-M.,</w:t>
      </w:r>
      <w:r w:rsidRPr="00684D37">
        <w:t xml:space="preserve"> </w:t>
      </w:r>
      <w:r w:rsidRPr="00684D37">
        <w:rPr>
          <w:i/>
          <w:iCs/>
        </w:rPr>
        <w:t>Huishoudens en gezinnen</w:t>
      </w:r>
      <w:r>
        <w:rPr>
          <w:i/>
          <w:iCs/>
        </w:rPr>
        <w:t xml:space="preserve"> (Households and Families)</w:t>
      </w:r>
      <w:r>
        <w:t>, Brussel,</w:t>
      </w:r>
      <w:r w:rsidRPr="00684D37">
        <w:t xml:space="preserve"> N</w:t>
      </w:r>
      <w:r>
        <w:t>ationaal Instituut voor Statistiek</w:t>
      </w:r>
      <w:r w:rsidRPr="00684D37">
        <w:t xml:space="preserve">, 1997, </w:t>
      </w:r>
      <w:r>
        <w:t>224 p.</w:t>
      </w:r>
    </w:p>
    <w:p w14:paraId="77D90A52" w14:textId="77777777" w:rsidR="00BD18A3" w:rsidRDefault="00BD18A3" w:rsidP="00BD18A3"/>
    <w:p w14:paraId="5C6DEB51" w14:textId="77777777" w:rsidR="00BD18A3" w:rsidRDefault="00BD18A3" w:rsidP="00BD18A3">
      <w:r w:rsidRPr="00904CB3">
        <w:t>DECLERCK,</w:t>
      </w:r>
      <w:r>
        <w:t xml:space="preserve"> C.,</w:t>
      </w:r>
      <w:r w:rsidRPr="00904CB3">
        <w:t xml:space="preserve"> “Huwen of samenwonen? Enkele familiaal vermogensrechtelijke aspecten” in CASTELEIN,</w:t>
      </w:r>
      <w:r>
        <w:t xml:space="preserve"> C., </w:t>
      </w:r>
      <w:r w:rsidRPr="00904CB3">
        <w:t>VERBEKE</w:t>
      </w:r>
      <w:r>
        <w:t>, A.-L.</w:t>
      </w:r>
      <w:r w:rsidRPr="00904CB3">
        <w:t xml:space="preserve"> en WEYTS</w:t>
      </w:r>
      <w:r>
        <w:t>, L.</w:t>
      </w:r>
      <w:r w:rsidRPr="00904CB3">
        <w:t xml:space="preserve"> (eds.), </w:t>
      </w:r>
      <w:r w:rsidRPr="00904CB3">
        <w:rPr>
          <w:i/>
          <w:iCs/>
        </w:rPr>
        <w:t>Leuvense Notariële actualiteit 2009-2010</w:t>
      </w:r>
      <w:r w:rsidRPr="00904CB3">
        <w:t>, Gent, Larcier, 2010, 61-91.</w:t>
      </w:r>
    </w:p>
    <w:p w14:paraId="7FE96241" w14:textId="77777777" w:rsidR="00BD18A3" w:rsidRDefault="00BD18A3" w:rsidP="00BD18A3"/>
    <w:p w14:paraId="376B6408" w14:textId="77777777" w:rsidR="00BD18A3" w:rsidRDefault="00BD18A3" w:rsidP="00BD18A3">
      <w:r>
        <w:t xml:space="preserve">DE KEZEL, E., “De wet tot invoering van de wettelijke samenwoning: een maat voor niets?”, </w:t>
      </w:r>
      <w:r w:rsidRPr="002728D0">
        <w:rPr>
          <w:i/>
          <w:iCs/>
        </w:rPr>
        <w:t>AJT</w:t>
      </w:r>
      <w:r>
        <w:t xml:space="preserve"> 1999, 129-139.</w:t>
      </w:r>
    </w:p>
    <w:p w14:paraId="2DE949AB" w14:textId="77777777" w:rsidR="00BD18A3" w:rsidRPr="00E96817" w:rsidRDefault="00BD18A3" w:rsidP="00BD18A3"/>
    <w:p w14:paraId="69BBF8E4" w14:textId="77777777" w:rsidR="00BD18A3" w:rsidRDefault="00BD18A3" w:rsidP="00BD18A3">
      <w:pPr>
        <w:rPr>
          <w:lang w:val="en-US"/>
        </w:rPr>
      </w:pPr>
      <w:r w:rsidRPr="00904CB3">
        <w:rPr>
          <w:lang w:val="en-US"/>
        </w:rPr>
        <w:t>DELAHAYE,</w:t>
      </w:r>
      <w:r>
        <w:rPr>
          <w:lang w:val="en-US"/>
        </w:rPr>
        <w:t xml:space="preserve"> B., </w:t>
      </w:r>
      <w:r w:rsidRPr="00904CB3">
        <w:rPr>
          <w:lang w:val="en-US"/>
        </w:rPr>
        <w:t>TAINMONT</w:t>
      </w:r>
      <w:r>
        <w:rPr>
          <w:lang w:val="en-US"/>
        </w:rPr>
        <w:t>, F.</w:t>
      </w:r>
      <w:r w:rsidRPr="00904CB3">
        <w:rPr>
          <w:lang w:val="en-US"/>
        </w:rPr>
        <w:t xml:space="preserve"> </w:t>
      </w:r>
      <w:proofErr w:type="spellStart"/>
      <w:r w:rsidRPr="00904CB3">
        <w:rPr>
          <w:lang w:val="en-US"/>
        </w:rPr>
        <w:t>en</w:t>
      </w:r>
      <w:proofErr w:type="spellEnd"/>
      <w:r w:rsidRPr="00904CB3">
        <w:rPr>
          <w:lang w:val="en-US"/>
        </w:rPr>
        <w:t xml:space="preserve"> LÈBE-DESSARD,</w:t>
      </w:r>
      <w:r>
        <w:rPr>
          <w:lang w:val="en-US"/>
        </w:rPr>
        <w:t xml:space="preserve"> V.,</w:t>
      </w:r>
      <w:r w:rsidRPr="00904CB3">
        <w:rPr>
          <w:lang w:val="en-US"/>
        </w:rPr>
        <w:t xml:space="preserve"> </w:t>
      </w:r>
      <w:r w:rsidRPr="00904CB3">
        <w:rPr>
          <w:i/>
          <w:iCs/>
          <w:lang w:val="en-US"/>
        </w:rPr>
        <w:t xml:space="preserve">La cohabitation </w:t>
      </w:r>
      <w:proofErr w:type="spellStart"/>
      <w:r w:rsidRPr="00904CB3">
        <w:rPr>
          <w:i/>
          <w:iCs/>
          <w:lang w:val="en-US"/>
        </w:rPr>
        <w:t>légale</w:t>
      </w:r>
      <w:proofErr w:type="spellEnd"/>
      <w:r w:rsidRPr="00904CB3">
        <w:rPr>
          <w:i/>
          <w:iCs/>
          <w:lang w:val="en-US"/>
        </w:rPr>
        <w:t xml:space="preserve">, </w:t>
      </w:r>
      <w:r w:rsidRPr="00904CB3">
        <w:rPr>
          <w:lang w:val="en-US"/>
        </w:rPr>
        <w:t xml:space="preserve">Brussel, </w:t>
      </w:r>
      <w:proofErr w:type="spellStart"/>
      <w:r w:rsidRPr="00904CB3">
        <w:rPr>
          <w:lang w:val="en-US"/>
        </w:rPr>
        <w:t>Larcier</w:t>
      </w:r>
      <w:proofErr w:type="spellEnd"/>
      <w:r w:rsidRPr="00904CB3">
        <w:rPr>
          <w:lang w:val="en-US"/>
        </w:rPr>
        <w:t>, 2013, 181 p.</w:t>
      </w:r>
    </w:p>
    <w:p w14:paraId="6B481F83" w14:textId="77777777" w:rsidR="00BD18A3" w:rsidRPr="002A5258" w:rsidRDefault="00BD18A3" w:rsidP="00BD18A3">
      <w:pPr>
        <w:rPr>
          <w:lang w:val="en-US"/>
        </w:rPr>
      </w:pPr>
    </w:p>
    <w:p w14:paraId="48EDD8E1" w14:textId="77777777" w:rsidR="00BD18A3" w:rsidRDefault="00BD18A3" w:rsidP="00BD18A3">
      <w:r>
        <w:t xml:space="preserve">DE SCHRIJVER, L., “De wettelijke samenwoning een verhouding van staat?”, </w:t>
      </w:r>
      <w:r w:rsidRPr="00493739">
        <w:rPr>
          <w:i/>
          <w:iCs/>
        </w:rPr>
        <w:t xml:space="preserve">T.Fam. </w:t>
      </w:r>
      <w:r>
        <w:t>2015, 135-143.</w:t>
      </w:r>
    </w:p>
    <w:p w14:paraId="67A605FB" w14:textId="77777777" w:rsidR="00BD18A3" w:rsidRDefault="00BD18A3" w:rsidP="00BD18A3"/>
    <w:p w14:paraId="67404AA5" w14:textId="77777777" w:rsidR="00BD18A3" w:rsidRDefault="00BD18A3" w:rsidP="00BD18A3">
      <w:pPr>
        <w:pStyle w:val="Voetnoottekst"/>
        <w:spacing w:line="360" w:lineRule="auto"/>
      </w:pPr>
      <w:r w:rsidRPr="00E40190">
        <w:t>DE SCHRIJVER,</w:t>
      </w:r>
      <w:r>
        <w:t xml:space="preserve"> L.,</w:t>
      </w:r>
      <w:r w:rsidRPr="00E40190">
        <w:t xml:space="preserve"> “De benadering van de schijnwettelijke samenwoning in de rechtspraak”, </w:t>
      </w:r>
      <w:r w:rsidRPr="00E40190">
        <w:rPr>
          <w:i/>
          <w:iCs/>
        </w:rPr>
        <w:t xml:space="preserve">T.Fam. </w:t>
      </w:r>
      <w:r w:rsidRPr="00E40190">
        <w:t>2017,</w:t>
      </w:r>
      <w:r>
        <w:t xml:space="preserve"> </w:t>
      </w:r>
      <w:r w:rsidRPr="00E40190">
        <w:t>113-</w:t>
      </w:r>
      <w:r>
        <w:t>124.</w:t>
      </w:r>
    </w:p>
    <w:p w14:paraId="287C7B54" w14:textId="77777777" w:rsidR="00BD18A3" w:rsidRDefault="00BD18A3" w:rsidP="00BD18A3">
      <w:pPr>
        <w:pStyle w:val="Voetnoottekst"/>
        <w:spacing w:line="360" w:lineRule="auto"/>
      </w:pPr>
    </w:p>
    <w:p w14:paraId="4A9401C2" w14:textId="77777777" w:rsidR="00BD18A3" w:rsidRDefault="00BD18A3" w:rsidP="00BD18A3">
      <w:r>
        <w:t>D’HONDT, S., “Commentaar bij art. 146</w:t>
      </w:r>
      <w:r w:rsidRPr="00333202">
        <w:rPr>
          <w:i/>
          <w:iCs/>
        </w:rPr>
        <w:t>bis</w:t>
      </w:r>
      <w:r>
        <w:t xml:space="preserve"> BW”, Comm.Pers. 2000, 6-9.</w:t>
      </w:r>
    </w:p>
    <w:p w14:paraId="2B144AD1" w14:textId="77777777" w:rsidR="00BD18A3" w:rsidRDefault="00BD18A3" w:rsidP="00BD18A3">
      <w:pPr>
        <w:pStyle w:val="Voetnoottekst"/>
        <w:spacing w:line="360" w:lineRule="auto"/>
      </w:pPr>
    </w:p>
    <w:p w14:paraId="4486F783" w14:textId="77777777" w:rsidR="00BD18A3" w:rsidRDefault="00BD18A3" w:rsidP="00BD18A3">
      <w:r w:rsidRPr="00906969">
        <w:t>DOM,</w:t>
      </w:r>
      <w:r>
        <w:t xml:space="preserve"> I.,</w:t>
      </w:r>
      <w:r w:rsidRPr="00906969">
        <w:t xml:space="preserve"> “Solidariteit tussen feitelijk samenwonende partners?”, </w:t>
      </w:r>
      <w:r w:rsidRPr="00906969">
        <w:rPr>
          <w:i/>
          <w:iCs/>
        </w:rPr>
        <w:t xml:space="preserve">NFM </w:t>
      </w:r>
      <w:r w:rsidRPr="00906969">
        <w:t>2018, 30-36.</w:t>
      </w:r>
    </w:p>
    <w:p w14:paraId="08D2304A" w14:textId="77777777" w:rsidR="00BD18A3" w:rsidRPr="002A5258" w:rsidRDefault="00BD18A3" w:rsidP="00BD18A3">
      <w:pPr>
        <w:pStyle w:val="Voetnoottekst"/>
        <w:spacing w:line="360" w:lineRule="auto"/>
        <w:rPr>
          <w:sz w:val="22"/>
          <w:szCs w:val="22"/>
        </w:rPr>
      </w:pPr>
    </w:p>
    <w:p w14:paraId="0293363E" w14:textId="77777777" w:rsidR="00BD18A3" w:rsidRDefault="00BD18A3" w:rsidP="00BD18A3">
      <w:r w:rsidRPr="00C95739">
        <w:t>EGGERMONT,</w:t>
      </w:r>
      <w:r>
        <w:t xml:space="preserve"> S.,</w:t>
      </w:r>
      <w:r w:rsidRPr="00C95739">
        <w:t xml:space="preserve"> </w:t>
      </w:r>
      <w:r w:rsidRPr="00A8653E">
        <w:rPr>
          <w:i/>
          <w:iCs/>
        </w:rPr>
        <w:t>Tweerelatie</w:t>
      </w:r>
      <w:r>
        <w:rPr>
          <w:i/>
          <w:iCs/>
        </w:rPr>
        <w:t>s:</w:t>
      </w:r>
      <w:r w:rsidRPr="00A8653E">
        <w:rPr>
          <w:i/>
          <w:iCs/>
        </w:rPr>
        <w:t xml:space="preserve"> </w:t>
      </w:r>
      <w:r>
        <w:rPr>
          <w:i/>
          <w:iCs/>
        </w:rPr>
        <w:t>h</w:t>
      </w:r>
      <w:r w:rsidRPr="00A8653E">
        <w:rPr>
          <w:i/>
          <w:iCs/>
        </w:rPr>
        <w:t>uwelijk, wettelijke samenwoning en feitelijke samenwoning juridisch ontleed</w:t>
      </w:r>
      <w:r w:rsidRPr="00C95739">
        <w:t xml:space="preserve">, Antwerpen, Intersentia, 2016, </w:t>
      </w:r>
      <w:r>
        <w:t>665 p.</w:t>
      </w:r>
    </w:p>
    <w:p w14:paraId="64949434" w14:textId="77777777" w:rsidR="00BD18A3" w:rsidRDefault="00BD18A3" w:rsidP="00BD18A3"/>
    <w:p w14:paraId="33068B20" w14:textId="77777777" w:rsidR="00BD18A3" w:rsidRPr="00ED4CA6" w:rsidRDefault="00BD18A3" w:rsidP="00BD18A3">
      <w:pPr>
        <w:pStyle w:val="Voetnoottekst"/>
        <w:spacing w:line="360" w:lineRule="auto"/>
        <w:rPr>
          <w:lang w:val="fr-BE"/>
        </w:rPr>
      </w:pPr>
      <w:r w:rsidRPr="00626E53">
        <w:rPr>
          <w:lang w:val="fr-BE"/>
        </w:rPr>
        <w:t>EVRARD</w:t>
      </w:r>
      <w:r>
        <w:rPr>
          <w:lang w:val="fr-BE"/>
        </w:rPr>
        <w:t>, T.</w:t>
      </w:r>
      <w:r w:rsidRPr="00626E53">
        <w:rPr>
          <w:lang w:val="fr-BE"/>
        </w:rPr>
        <w:t xml:space="preserve"> en AP</w:t>
      </w:r>
      <w:r>
        <w:rPr>
          <w:lang w:val="fr-BE"/>
        </w:rPr>
        <w:t>ERS</w:t>
      </w:r>
      <w:r w:rsidRPr="00626E53">
        <w:rPr>
          <w:lang w:val="fr-BE"/>
        </w:rPr>
        <w:t>,</w:t>
      </w:r>
      <w:r>
        <w:rPr>
          <w:lang w:val="fr-BE"/>
        </w:rPr>
        <w:t xml:space="preserve"> C.,</w:t>
      </w:r>
      <w:r w:rsidRPr="00626E53">
        <w:rPr>
          <w:lang w:val="fr-BE"/>
        </w:rPr>
        <w:t xml:space="preserve"> “La loi du 2 juin 2013 visant à lutter contre les mariages de complaisance et les cohabitations légales de complaisance”, </w:t>
      </w:r>
      <w:proofErr w:type="spellStart"/>
      <w:r w:rsidRPr="00626E53">
        <w:rPr>
          <w:i/>
          <w:iCs/>
          <w:lang w:val="fr-BE"/>
        </w:rPr>
        <w:t>Rev.dr.étr</w:t>
      </w:r>
      <w:proofErr w:type="spellEnd"/>
      <w:r w:rsidRPr="00626E53">
        <w:rPr>
          <w:i/>
          <w:iCs/>
          <w:lang w:val="fr-BE"/>
        </w:rPr>
        <w:t>.</w:t>
      </w:r>
      <w:r w:rsidRPr="00626E53">
        <w:rPr>
          <w:lang w:val="fr-BE"/>
        </w:rPr>
        <w:t> 2014,</w:t>
      </w:r>
      <w:r>
        <w:rPr>
          <w:lang w:val="fr-BE"/>
        </w:rPr>
        <w:t xml:space="preserve"> 563-576.</w:t>
      </w:r>
    </w:p>
    <w:p w14:paraId="1D141B40" w14:textId="77777777" w:rsidR="00BD18A3" w:rsidRPr="00ED4CA6" w:rsidRDefault="00BD18A3" w:rsidP="00BD18A3">
      <w:pPr>
        <w:rPr>
          <w:lang w:val="en-US"/>
        </w:rPr>
      </w:pPr>
    </w:p>
    <w:p w14:paraId="27662AD0" w14:textId="77777777" w:rsidR="00BD18A3" w:rsidRDefault="00BD18A3" w:rsidP="00BD18A3">
      <w:r w:rsidRPr="00A23D3C">
        <w:t>GOOSSENS,</w:t>
      </w:r>
      <w:r>
        <w:t xml:space="preserve"> E.,</w:t>
      </w:r>
      <w:r w:rsidRPr="00A23D3C">
        <w:t xml:space="preserve"> </w:t>
      </w:r>
      <w:r>
        <w:t>“</w:t>
      </w:r>
      <w:r w:rsidRPr="00A23D3C">
        <w:t>Kompas voor een nieuw samenwoning</w:t>
      </w:r>
      <w:r>
        <w:t>s</w:t>
      </w:r>
      <w:r w:rsidRPr="00A23D3C">
        <w:t>recht: neutraal, coherent en compensatie- en behoeftegericht</w:t>
      </w:r>
      <w:r>
        <w:t>”</w:t>
      </w:r>
      <w:r w:rsidRPr="00A23D3C">
        <w:t xml:space="preserve">, </w:t>
      </w:r>
      <w:r w:rsidRPr="00A23D3C">
        <w:rPr>
          <w:i/>
          <w:iCs/>
        </w:rPr>
        <w:t xml:space="preserve">TBBR </w:t>
      </w:r>
      <w:r w:rsidRPr="00A23D3C">
        <w:t>2019, 537</w:t>
      </w:r>
      <w:r>
        <w:t>-566.</w:t>
      </w:r>
    </w:p>
    <w:p w14:paraId="158528C2" w14:textId="77777777" w:rsidR="00BD18A3" w:rsidRDefault="00BD18A3" w:rsidP="00BD18A3"/>
    <w:p w14:paraId="307960FC" w14:textId="77777777" w:rsidR="00BD18A3" w:rsidRDefault="00BD18A3" w:rsidP="00BD18A3">
      <w:pPr>
        <w:rPr>
          <w:szCs w:val="21"/>
          <w:lang w:val="nl-NL"/>
        </w:rPr>
      </w:pPr>
      <w:r w:rsidRPr="00A73C39">
        <w:t>HEYVAERT,</w:t>
      </w:r>
      <w:r>
        <w:t xml:space="preserve"> A.,</w:t>
      </w:r>
      <w:r w:rsidRPr="00A73C39">
        <w:t xml:space="preserve"> “De evolutie naar de seks(e)neutraliteit van het gezinsrecht</w:t>
      </w:r>
      <w:r>
        <w:t>. Een (poging tot) verklaring</w:t>
      </w:r>
      <w:r w:rsidRPr="00A73C39">
        <w:t xml:space="preserve">”, </w:t>
      </w:r>
      <w:r w:rsidRPr="000336CC">
        <w:rPr>
          <w:i/>
          <w:iCs/>
        </w:rPr>
        <w:t xml:space="preserve">NJW </w:t>
      </w:r>
      <w:r w:rsidRPr="00A73C39">
        <w:t>2005,</w:t>
      </w:r>
      <w:r>
        <w:t xml:space="preserve"> </w:t>
      </w:r>
      <w:r w:rsidRPr="00A73C39">
        <w:t>1190-1202</w:t>
      </w:r>
      <w:r>
        <w:rPr>
          <w:szCs w:val="21"/>
          <w:lang w:val="nl-NL"/>
        </w:rPr>
        <w:t>.</w:t>
      </w:r>
    </w:p>
    <w:p w14:paraId="3B8A7A77" w14:textId="77777777" w:rsidR="00BD18A3" w:rsidRDefault="00BD18A3" w:rsidP="00BD18A3">
      <w:pPr>
        <w:rPr>
          <w:szCs w:val="21"/>
          <w:lang w:val="nl-NL"/>
        </w:rPr>
      </w:pPr>
    </w:p>
    <w:p w14:paraId="4A88F5AE" w14:textId="77777777" w:rsidR="00BD18A3" w:rsidRDefault="00BD18A3" w:rsidP="00BD18A3">
      <w:pPr>
        <w:rPr>
          <w:lang w:val="fr-BE"/>
        </w:rPr>
      </w:pPr>
      <w:r w:rsidRPr="008B5A23">
        <w:rPr>
          <w:lang w:val="fr-BE"/>
        </w:rPr>
        <w:t>JAUMOTTE,</w:t>
      </w:r>
      <w:r>
        <w:rPr>
          <w:lang w:val="fr-BE"/>
        </w:rPr>
        <w:t xml:space="preserve"> S.,</w:t>
      </w:r>
      <w:r w:rsidRPr="008B5A23">
        <w:rPr>
          <w:lang w:val="fr-BE"/>
        </w:rPr>
        <w:t xml:space="preserve"> </w:t>
      </w:r>
      <w:r w:rsidRPr="008B5A23">
        <w:rPr>
          <w:i/>
          <w:iCs/>
          <w:lang w:val="fr-BE"/>
        </w:rPr>
        <w:t xml:space="preserve">Droit familial: </w:t>
      </w:r>
      <w:proofErr w:type="spellStart"/>
      <w:r w:rsidRPr="008B5A23">
        <w:rPr>
          <w:i/>
          <w:iCs/>
          <w:lang w:val="fr-BE"/>
        </w:rPr>
        <w:t>modèles</w:t>
      </w:r>
      <w:proofErr w:type="spellEnd"/>
      <w:r w:rsidRPr="008B5A23">
        <w:rPr>
          <w:i/>
          <w:iCs/>
          <w:lang w:val="fr-BE"/>
        </w:rPr>
        <w:t xml:space="preserve"> et commentaires pratiques</w:t>
      </w:r>
      <w:r w:rsidRPr="008B5A23">
        <w:rPr>
          <w:lang w:val="fr-BE"/>
        </w:rPr>
        <w:t>, Antwerpen, Kluwer, 2020, 420 p.</w:t>
      </w:r>
    </w:p>
    <w:p w14:paraId="0345F4DF" w14:textId="77777777" w:rsidR="00BD18A3" w:rsidRDefault="00BD18A3" w:rsidP="00BD18A3">
      <w:pPr>
        <w:rPr>
          <w:lang w:val="fr-BE"/>
        </w:rPr>
      </w:pPr>
    </w:p>
    <w:p w14:paraId="2DCFCEA1" w14:textId="77777777" w:rsidR="00BD18A3" w:rsidRDefault="00BD18A3" w:rsidP="00BD18A3">
      <w:pPr>
        <w:pStyle w:val="Voetnoottekst"/>
        <w:rPr>
          <w:lang w:val="fr-BE"/>
        </w:rPr>
      </w:pPr>
      <w:r w:rsidRPr="008C7903">
        <w:rPr>
          <w:lang w:val="fr-BE"/>
        </w:rPr>
        <w:t>LELEU,</w:t>
      </w:r>
      <w:r>
        <w:rPr>
          <w:lang w:val="fr-BE"/>
        </w:rPr>
        <w:t xml:space="preserve"> Y.-H.,</w:t>
      </w:r>
      <w:r w:rsidRPr="008E703A">
        <w:rPr>
          <w:lang w:val="fr-BE"/>
        </w:rPr>
        <w:t xml:space="preserve"> </w:t>
      </w:r>
      <w:r w:rsidRPr="008E703A">
        <w:rPr>
          <w:i/>
          <w:iCs/>
          <w:lang w:val="fr-BE"/>
        </w:rPr>
        <w:t>Droit des personnes et des familles,</w:t>
      </w:r>
      <w:r w:rsidRPr="008E703A">
        <w:rPr>
          <w:lang w:val="fr-BE"/>
        </w:rPr>
        <w:t xml:space="preserve"> Brussel, Larcier, 2020, </w:t>
      </w:r>
      <w:r>
        <w:rPr>
          <w:lang w:val="fr-BE"/>
        </w:rPr>
        <w:t>888 p.</w:t>
      </w:r>
    </w:p>
    <w:p w14:paraId="1836B223" w14:textId="77777777" w:rsidR="00BD18A3" w:rsidRPr="002B1884" w:rsidRDefault="00BD18A3" w:rsidP="00BD18A3">
      <w:pPr>
        <w:rPr>
          <w:szCs w:val="21"/>
          <w:lang w:val="fr-BE"/>
        </w:rPr>
      </w:pPr>
    </w:p>
    <w:p w14:paraId="055CA350" w14:textId="77777777" w:rsidR="00BD18A3" w:rsidRDefault="00BD18A3" w:rsidP="00BD18A3">
      <w:pPr>
        <w:rPr>
          <w:szCs w:val="20"/>
          <w:lang w:val="fr-BE"/>
        </w:rPr>
      </w:pPr>
      <w:r w:rsidRPr="008C7903">
        <w:rPr>
          <w:szCs w:val="20"/>
          <w:lang w:val="fr-BE"/>
        </w:rPr>
        <w:t>LELEU,</w:t>
      </w:r>
      <w:r>
        <w:rPr>
          <w:szCs w:val="20"/>
          <w:lang w:val="fr-BE"/>
        </w:rPr>
        <w:t xml:space="preserve"> Y.-H.,</w:t>
      </w:r>
      <w:r w:rsidRPr="008C7903">
        <w:rPr>
          <w:szCs w:val="20"/>
          <w:lang w:val="fr-BE"/>
        </w:rPr>
        <w:t xml:space="preserve"> </w:t>
      </w:r>
      <w:r w:rsidRPr="008C7903">
        <w:rPr>
          <w:i/>
          <w:iCs/>
          <w:szCs w:val="20"/>
          <w:lang w:val="fr-BE"/>
        </w:rPr>
        <w:t>Droit patrimonial des couples,</w:t>
      </w:r>
      <w:r w:rsidRPr="008C7903">
        <w:rPr>
          <w:szCs w:val="20"/>
          <w:lang w:val="fr-BE"/>
        </w:rPr>
        <w:t xml:space="preserve"> Brussel, Larcier, 2021, 686 p.</w:t>
      </w:r>
    </w:p>
    <w:p w14:paraId="4DF1E930" w14:textId="77777777" w:rsidR="00BD18A3" w:rsidRPr="002A5258" w:rsidRDefault="00BD18A3" w:rsidP="00BD18A3">
      <w:pPr>
        <w:rPr>
          <w:szCs w:val="21"/>
          <w:lang w:val="fr-BE"/>
        </w:rPr>
      </w:pPr>
    </w:p>
    <w:p w14:paraId="548BA7F5" w14:textId="77777777" w:rsidR="00BD18A3" w:rsidRPr="002A5258" w:rsidRDefault="00BD18A3" w:rsidP="00BD18A3">
      <w:r w:rsidRPr="00C11C5C">
        <w:t>LELEU,</w:t>
      </w:r>
      <w:r>
        <w:t xml:space="preserve"> Y., </w:t>
      </w:r>
      <w:r w:rsidRPr="00C11C5C">
        <w:t>ALOFS,</w:t>
      </w:r>
      <w:r>
        <w:t xml:space="preserve"> E.,</w:t>
      </w:r>
      <w:r w:rsidRPr="00C11C5C">
        <w:t xml:space="preserve"> HARMEL</w:t>
      </w:r>
      <w:r>
        <w:t>, C.,</w:t>
      </w:r>
      <w:r w:rsidRPr="00C11C5C">
        <w:t xml:space="preserve"> en</w:t>
      </w:r>
      <w:r>
        <w:t xml:space="preserve"> </w:t>
      </w:r>
      <w:r w:rsidRPr="00C11C5C">
        <w:t>PETERS,</w:t>
      </w:r>
      <w:r>
        <w:t xml:space="preserve"> M.,</w:t>
      </w:r>
      <w:r w:rsidRPr="00C11C5C">
        <w:t xml:space="preserve"> </w:t>
      </w:r>
      <w:r w:rsidRPr="00C11C5C">
        <w:rPr>
          <w:i/>
          <w:iCs/>
        </w:rPr>
        <w:t>La transmission genrée du capital familial,</w:t>
      </w:r>
      <w:r w:rsidRPr="00C11C5C">
        <w:t xml:space="preserve"> Brussel, Larcier-Intersentia, 2024, 336 p.</w:t>
      </w:r>
    </w:p>
    <w:p w14:paraId="0CB753D3" w14:textId="77777777" w:rsidR="00BD18A3" w:rsidRDefault="00BD18A3" w:rsidP="00BD18A3"/>
    <w:p w14:paraId="701775C1" w14:textId="77777777" w:rsidR="00BD18A3" w:rsidRDefault="00BD18A3" w:rsidP="00BD18A3">
      <w:r w:rsidRPr="00A00AFA">
        <w:t>MONBALLYU,</w:t>
      </w:r>
      <w:r>
        <w:t xml:space="preserve"> J.,</w:t>
      </w:r>
      <w:r w:rsidRPr="00A00AFA">
        <w:t xml:space="preserve"> </w:t>
      </w:r>
      <w:r w:rsidRPr="00A00AFA">
        <w:rPr>
          <w:i/>
          <w:iCs/>
        </w:rPr>
        <w:t>Geschiedenis van het familierecht. Van de late middeleeuwen tot heden</w:t>
      </w:r>
      <w:r w:rsidRPr="00A00AFA">
        <w:t xml:space="preserve">, Leuven, Acco, 2010, </w:t>
      </w:r>
      <w:r>
        <w:t>152 p.</w:t>
      </w:r>
    </w:p>
    <w:p w14:paraId="4F0D5E7B" w14:textId="77777777" w:rsidR="00BD18A3" w:rsidRPr="00996F24" w:rsidRDefault="00BD18A3" w:rsidP="00BD18A3"/>
    <w:p w14:paraId="4EEE67C7" w14:textId="77777777" w:rsidR="00BD18A3" w:rsidRDefault="00BD18A3" w:rsidP="00BD18A3">
      <w:r w:rsidRPr="001B4EB3">
        <w:t>PINTENS</w:t>
      </w:r>
      <w:r>
        <w:t xml:space="preserve">, W., </w:t>
      </w:r>
      <w:r w:rsidRPr="001B4EB3">
        <w:t>DECLERCK</w:t>
      </w:r>
      <w:r>
        <w:t>, C.</w:t>
      </w:r>
      <w:r w:rsidRPr="001B4EB3">
        <w:t xml:space="preserve"> en VANWINCKELEN,</w:t>
      </w:r>
      <w:r>
        <w:t xml:space="preserve"> K.,</w:t>
      </w:r>
      <w:r w:rsidRPr="001B4EB3">
        <w:t xml:space="preserve"> </w:t>
      </w:r>
      <w:r w:rsidRPr="001B4EB3">
        <w:rPr>
          <w:i/>
          <w:iCs/>
        </w:rPr>
        <w:t>Schets van het familiaal vermogensrecht</w:t>
      </w:r>
      <w:r w:rsidRPr="001B4EB3">
        <w:t xml:space="preserve">, Antwerpen, Intersentia, 2012, </w:t>
      </w:r>
      <w:r>
        <w:t>439 p</w:t>
      </w:r>
      <w:r w:rsidRPr="001B4EB3">
        <w:t>.</w:t>
      </w:r>
    </w:p>
    <w:p w14:paraId="2B1027FE" w14:textId="77777777" w:rsidR="00BD18A3" w:rsidRDefault="00BD18A3" w:rsidP="00BD18A3"/>
    <w:p w14:paraId="25DB07ED" w14:textId="77777777" w:rsidR="00BD18A3" w:rsidRPr="00ED4CA6" w:rsidRDefault="00BD18A3" w:rsidP="00BD18A3">
      <w:pPr>
        <w:rPr>
          <w:szCs w:val="20"/>
        </w:rPr>
      </w:pPr>
      <w:r w:rsidRPr="007B442E">
        <w:rPr>
          <w:szCs w:val="20"/>
        </w:rPr>
        <w:t>PLINGERS</w:t>
      </w:r>
      <w:r>
        <w:rPr>
          <w:szCs w:val="20"/>
        </w:rPr>
        <w:t>, S.</w:t>
      </w:r>
      <w:r w:rsidRPr="007B442E">
        <w:rPr>
          <w:szCs w:val="20"/>
        </w:rPr>
        <w:t xml:space="preserve"> en PEEL,</w:t>
      </w:r>
      <w:r>
        <w:rPr>
          <w:szCs w:val="20"/>
        </w:rPr>
        <w:t xml:space="preserve"> S.,</w:t>
      </w:r>
      <w:r w:rsidRPr="007B442E">
        <w:rPr>
          <w:szCs w:val="20"/>
        </w:rPr>
        <w:t xml:space="preserve"> “Samenlevingscontracten”, in VERBEKE,</w:t>
      </w:r>
      <w:r>
        <w:rPr>
          <w:szCs w:val="20"/>
        </w:rPr>
        <w:t xml:space="preserve"> A., </w:t>
      </w:r>
      <w:r w:rsidRPr="007B442E">
        <w:rPr>
          <w:szCs w:val="20"/>
        </w:rPr>
        <w:t>BUYSSENS</w:t>
      </w:r>
      <w:r>
        <w:rPr>
          <w:szCs w:val="20"/>
        </w:rPr>
        <w:t>, F.</w:t>
      </w:r>
      <w:r w:rsidRPr="007B442E">
        <w:rPr>
          <w:szCs w:val="20"/>
        </w:rPr>
        <w:t xml:space="preserve"> en DERYCKE</w:t>
      </w:r>
      <w:r>
        <w:rPr>
          <w:szCs w:val="20"/>
        </w:rPr>
        <w:t>, H. (eds.)</w:t>
      </w:r>
      <w:r w:rsidRPr="007B442E">
        <w:rPr>
          <w:szCs w:val="20"/>
        </w:rPr>
        <w:t xml:space="preserve">, </w:t>
      </w:r>
      <w:r w:rsidRPr="007B442E">
        <w:rPr>
          <w:i/>
          <w:iCs/>
          <w:szCs w:val="20"/>
        </w:rPr>
        <w:t>Handboek Estate Planning</w:t>
      </w:r>
      <w:r w:rsidRPr="006958CD">
        <w:rPr>
          <w:i/>
          <w:iCs/>
          <w:szCs w:val="20"/>
        </w:rPr>
        <w:t>, Boek 1, Vermogensplanning met Effect bij Leven - Huwelijk en samenwoning</w:t>
      </w:r>
      <w:r w:rsidRPr="007B442E">
        <w:rPr>
          <w:szCs w:val="20"/>
        </w:rPr>
        <w:t>, Brussel, Larcier, 2004, 97</w:t>
      </w:r>
      <w:r>
        <w:rPr>
          <w:szCs w:val="20"/>
        </w:rPr>
        <w:t>-102.</w:t>
      </w:r>
    </w:p>
    <w:p w14:paraId="5ECBE1F7" w14:textId="77777777" w:rsidR="00BD18A3" w:rsidRDefault="00BD18A3" w:rsidP="00BD18A3"/>
    <w:p w14:paraId="4EA8BCE3" w14:textId="77777777" w:rsidR="00BD18A3" w:rsidRDefault="00BD18A3" w:rsidP="00BD18A3">
      <w:pPr>
        <w:pStyle w:val="Voetnoottekst"/>
        <w:spacing w:line="360" w:lineRule="auto"/>
      </w:pPr>
      <w:r>
        <w:t>SENAEVE, P., “Commentaar bij art. 1476</w:t>
      </w:r>
      <w:r w:rsidRPr="00B8409A">
        <w:rPr>
          <w:i/>
          <w:iCs/>
        </w:rPr>
        <w:t>bis</w:t>
      </w:r>
      <w:r>
        <w:t xml:space="preserve"> BW, 1476</w:t>
      </w:r>
      <w:r w:rsidRPr="00B8409A">
        <w:rPr>
          <w:i/>
          <w:iCs/>
        </w:rPr>
        <w:t>ter</w:t>
      </w:r>
      <w:r>
        <w:t xml:space="preserve"> BW en 1476</w:t>
      </w:r>
      <w:r w:rsidRPr="00B8409A">
        <w:rPr>
          <w:i/>
          <w:iCs/>
        </w:rPr>
        <w:t>quater</w:t>
      </w:r>
      <w:r>
        <w:t xml:space="preserve"> BW” in SENAEVE, P., SWENNEN, F. en VERSCHELDEN, G. (eds.), Personen- en familierecht. Artikelsgewijze commentaar met overzicht van rechtspraak en rechtsleer, Mechelen, Wolters Kluwer, 2014, 1-10.</w:t>
      </w:r>
    </w:p>
    <w:p w14:paraId="3A63297B" w14:textId="77777777" w:rsidR="00BD18A3" w:rsidRDefault="00BD18A3" w:rsidP="00BD18A3"/>
    <w:p w14:paraId="093B256F" w14:textId="77777777" w:rsidR="00BD18A3" w:rsidRDefault="00BD18A3" w:rsidP="00BD18A3">
      <w:r w:rsidRPr="00D108EA">
        <w:t xml:space="preserve">SENAEVE, P. en DECLERCK, C., </w:t>
      </w:r>
      <w:r w:rsidRPr="00D108EA">
        <w:rPr>
          <w:i/>
          <w:iCs/>
        </w:rPr>
        <w:t xml:space="preserve">Compendium van het personen- en familierecht, </w:t>
      </w:r>
      <w:r w:rsidRPr="00D108EA">
        <w:t>Leuven, Acco, 2022, 750 p.</w:t>
      </w:r>
    </w:p>
    <w:p w14:paraId="3D17CD52" w14:textId="77777777" w:rsidR="00BD18A3" w:rsidRDefault="00BD18A3" w:rsidP="00BD18A3"/>
    <w:p w14:paraId="552C8CE4" w14:textId="77777777" w:rsidR="00BD18A3" w:rsidRDefault="00BD18A3" w:rsidP="00BD18A3">
      <w:pPr>
        <w:rPr>
          <w:szCs w:val="20"/>
          <w:lang w:val="en-US"/>
        </w:rPr>
      </w:pPr>
      <w:r w:rsidRPr="00DE7E5F">
        <w:rPr>
          <w:szCs w:val="20"/>
          <w:lang w:val="en-US"/>
        </w:rPr>
        <w:t>SOSSON,</w:t>
      </w:r>
      <w:r>
        <w:rPr>
          <w:szCs w:val="20"/>
          <w:lang w:val="en-US"/>
        </w:rPr>
        <w:t xml:space="preserve"> J.,</w:t>
      </w:r>
      <w:r w:rsidRPr="00DE7E5F">
        <w:rPr>
          <w:szCs w:val="20"/>
          <w:lang w:val="en-US"/>
        </w:rPr>
        <w:t xml:space="preserve"> “Les </w:t>
      </w:r>
      <w:proofErr w:type="spellStart"/>
      <w:r w:rsidRPr="00DE7E5F">
        <w:rPr>
          <w:szCs w:val="20"/>
          <w:lang w:val="en-US"/>
        </w:rPr>
        <w:t>effets</w:t>
      </w:r>
      <w:proofErr w:type="spellEnd"/>
      <w:r w:rsidRPr="00DE7E5F">
        <w:rPr>
          <w:szCs w:val="20"/>
          <w:lang w:val="en-US"/>
        </w:rPr>
        <w:t xml:space="preserve"> </w:t>
      </w:r>
      <w:proofErr w:type="spellStart"/>
      <w:r w:rsidRPr="00DE7E5F">
        <w:rPr>
          <w:szCs w:val="20"/>
          <w:lang w:val="en-US"/>
        </w:rPr>
        <w:t>personnels</w:t>
      </w:r>
      <w:proofErr w:type="spellEnd"/>
      <w:r w:rsidRPr="00DE7E5F">
        <w:rPr>
          <w:szCs w:val="20"/>
          <w:lang w:val="en-US"/>
        </w:rPr>
        <w:t>” in</w:t>
      </w:r>
      <w:r>
        <w:rPr>
          <w:szCs w:val="20"/>
          <w:lang w:val="en-US"/>
        </w:rPr>
        <w:t xml:space="preserve"> </w:t>
      </w:r>
      <w:r w:rsidRPr="00DE7E5F">
        <w:rPr>
          <w:szCs w:val="20"/>
          <w:lang w:val="en-US"/>
        </w:rPr>
        <w:t>HAUSER</w:t>
      </w:r>
      <w:r>
        <w:rPr>
          <w:szCs w:val="20"/>
          <w:lang w:val="en-US"/>
        </w:rPr>
        <w:t>, J.</w:t>
      </w:r>
      <w:r w:rsidRPr="00DE7E5F">
        <w:rPr>
          <w:szCs w:val="20"/>
          <w:lang w:val="en-US"/>
        </w:rPr>
        <w:t xml:space="preserve"> </w:t>
      </w:r>
      <w:proofErr w:type="spellStart"/>
      <w:r w:rsidRPr="00DE7E5F">
        <w:rPr>
          <w:szCs w:val="20"/>
          <w:lang w:val="en-US"/>
        </w:rPr>
        <w:t>en</w:t>
      </w:r>
      <w:proofErr w:type="spellEnd"/>
      <w:r>
        <w:rPr>
          <w:szCs w:val="20"/>
          <w:lang w:val="en-US"/>
        </w:rPr>
        <w:t xml:space="preserve"> </w:t>
      </w:r>
      <w:r w:rsidRPr="00DE7E5F">
        <w:rPr>
          <w:szCs w:val="20"/>
          <w:lang w:val="en-US"/>
        </w:rPr>
        <w:t>RENCHON</w:t>
      </w:r>
      <w:r>
        <w:rPr>
          <w:szCs w:val="20"/>
          <w:lang w:val="en-US"/>
        </w:rPr>
        <w:t xml:space="preserve">, J.-L. </w:t>
      </w:r>
      <w:r w:rsidRPr="00DE7E5F">
        <w:rPr>
          <w:szCs w:val="20"/>
          <w:lang w:val="en-US"/>
        </w:rPr>
        <w:t xml:space="preserve">(eds.), </w:t>
      </w:r>
      <w:proofErr w:type="spellStart"/>
      <w:r w:rsidRPr="00DE7E5F">
        <w:rPr>
          <w:i/>
          <w:iCs/>
          <w:szCs w:val="20"/>
          <w:lang w:val="en-US"/>
        </w:rPr>
        <w:t>Différenciation</w:t>
      </w:r>
      <w:proofErr w:type="spellEnd"/>
      <w:r w:rsidRPr="00DE7E5F">
        <w:rPr>
          <w:i/>
          <w:iCs/>
          <w:szCs w:val="20"/>
          <w:lang w:val="en-US"/>
        </w:rPr>
        <w:t xml:space="preserve"> </w:t>
      </w:r>
      <w:proofErr w:type="spellStart"/>
      <w:r w:rsidRPr="00DE7E5F">
        <w:rPr>
          <w:i/>
          <w:iCs/>
          <w:szCs w:val="20"/>
          <w:lang w:val="en-US"/>
        </w:rPr>
        <w:t>ou</w:t>
      </w:r>
      <w:proofErr w:type="spellEnd"/>
      <w:r w:rsidRPr="00DE7E5F">
        <w:rPr>
          <w:i/>
          <w:iCs/>
          <w:szCs w:val="20"/>
          <w:lang w:val="en-US"/>
        </w:rPr>
        <w:t xml:space="preserve"> convergence des </w:t>
      </w:r>
      <w:proofErr w:type="spellStart"/>
      <w:r w:rsidRPr="00DE7E5F">
        <w:rPr>
          <w:i/>
          <w:iCs/>
          <w:szCs w:val="20"/>
          <w:lang w:val="en-US"/>
        </w:rPr>
        <w:t>statuts</w:t>
      </w:r>
      <w:proofErr w:type="spellEnd"/>
      <w:r w:rsidRPr="00DE7E5F">
        <w:rPr>
          <w:i/>
          <w:iCs/>
          <w:szCs w:val="20"/>
          <w:lang w:val="en-US"/>
        </w:rPr>
        <w:t xml:space="preserve"> </w:t>
      </w:r>
      <w:proofErr w:type="spellStart"/>
      <w:r w:rsidRPr="00DE7E5F">
        <w:rPr>
          <w:i/>
          <w:iCs/>
          <w:szCs w:val="20"/>
          <w:lang w:val="en-US"/>
        </w:rPr>
        <w:t>juridiques</w:t>
      </w:r>
      <w:proofErr w:type="spellEnd"/>
      <w:r w:rsidRPr="00DE7E5F">
        <w:rPr>
          <w:i/>
          <w:iCs/>
          <w:szCs w:val="20"/>
          <w:lang w:val="en-US"/>
        </w:rPr>
        <w:t xml:space="preserve"> du couple </w:t>
      </w:r>
      <w:proofErr w:type="spellStart"/>
      <w:r w:rsidRPr="00DE7E5F">
        <w:rPr>
          <w:i/>
          <w:iCs/>
          <w:szCs w:val="20"/>
          <w:lang w:val="en-US"/>
        </w:rPr>
        <w:t>marié</w:t>
      </w:r>
      <w:proofErr w:type="spellEnd"/>
      <w:r w:rsidRPr="00DE7E5F">
        <w:rPr>
          <w:i/>
          <w:iCs/>
          <w:szCs w:val="20"/>
          <w:lang w:val="en-US"/>
        </w:rPr>
        <w:t xml:space="preserve"> et du couple non </w:t>
      </w:r>
      <w:proofErr w:type="spellStart"/>
      <w:r w:rsidRPr="00DE7E5F">
        <w:rPr>
          <w:i/>
          <w:iCs/>
          <w:szCs w:val="20"/>
          <w:lang w:val="en-US"/>
        </w:rPr>
        <w:t>marié</w:t>
      </w:r>
      <w:proofErr w:type="spellEnd"/>
      <w:r w:rsidRPr="00DE7E5F">
        <w:rPr>
          <w:i/>
          <w:iCs/>
          <w:szCs w:val="20"/>
          <w:lang w:val="en-US"/>
        </w:rPr>
        <w:t xml:space="preserve">, Droit </w:t>
      </w:r>
      <w:proofErr w:type="spellStart"/>
      <w:r w:rsidRPr="00DE7E5F">
        <w:rPr>
          <w:i/>
          <w:iCs/>
          <w:szCs w:val="20"/>
          <w:lang w:val="en-US"/>
        </w:rPr>
        <w:t>belge</w:t>
      </w:r>
      <w:proofErr w:type="spellEnd"/>
      <w:r w:rsidRPr="00DE7E5F">
        <w:rPr>
          <w:i/>
          <w:iCs/>
          <w:szCs w:val="20"/>
          <w:lang w:val="en-US"/>
        </w:rPr>
        <w:t xml:space="preserve"> et </w:t>
      </w:r>
      <w:proofErr w:type="spellStart"/>
      <w:r w:rsidRPr="00DE7E5F">
        <w:rPr>
          <w:i/>
          <w:iCs/>
          <w:szCs w:val="20"/>
          <w:lang w:val="en-US"/>
        </w:rPr>
        <w:t>français</w:t>
      </w:r>
      <w:proofErr w:type="spellEnd"/>
      <w:r w:rsidRPr="00DE7E5F">
        <w:rPr>
          <w:i/>
          <w:iCs/>
          <w:szCs w:val="20"/>
          <w:lang w:val="en-US"/>
        </w:rPr>
        <w:t xml:space="preserve">, </w:t>
      </w:r>
      <w:r w:rsidRPr="00DE7E5F">
        <w:rPr>
          <w:szCs w:val="20"/>
          <w:lang w:val="en-US"/>
        </w:rPr>
        <w:t xml:space="preserve">Brussel, </w:t>
      </w:r>
      <w:proofErr w:type="spellStart"/>
      <w:r w:rsidRPr="00DE7E5F">
        <w:rPr>
          <w:szCs w:val="20"/>
          <w:lang w:val="en-US"/>
        </w:rPr>
        <w:t>Bruylant</w:t>
      </w:r>
      <w:proofErr w:type="spellEnd"/>
      <w:r w:rsidRPr="00DE7E5F">
        <w:rPr>
          <w:szCs w:val="20"/>
          <w:lang w:val="en-US"/>
        </w:rPr>
        <w:t>, 2005, 3</w:t>
      </w:r>
      <w:r>
        <w:rPr>
          <w:szCs w:val="20"/>
          <w:lang w:val="en-US"/>
        </w:rPr>
        <w:t>7-58.</w:t>
      </w:r>
    </w:p>
    <w:p w14:paraId="2925F952" w14:textId="77777777" w:rsidR="00BD18A3" w:rsidRDefault="00BD18A3" w:rsidP="00BD18A3">
      <w:pPr>
        <w:rPr>
          <w:szCs w:val="20"/>
          <w:lang w:val="en-US"/>
        </w:rPr>
      </w:pPr>
    </w:p>
    <w:p w14:paraId="30DA873F" w14:textId="77777777" w:rsidR="00BD18A3" w:rsidRPr="00ED4CA6" w:rsidRDefault="00BD18A3" w:rsidP="00BD18A3">
      <w:pPr>
        <w:rPr>
          <w:szCs w:val="20"/>
          <w:lang w:val="nl-NL"/>
        </w:rPr>
      </w:pPr>
      <w:r w:rsidRPr="00B4649F">
        <w:rPr>
          <w:szCs w:val="20"/>
          <w:lang w:val="nl-NL"/>
        </w:rPr>
        <w:t xml:space="preserve">STIJNS, S., </w:t>
      </w:r>
      <w:r w:rsidRPr="00B4649F">
        <w:rPr>
          <w:i/>
          <w:iCs/>
          <w:szCs w:val="20"/>
          <w:lang w:val="nl-NL"/>
        </w:rPr>
        <w:t>Leerboek verbintenissenrecht</w:t>
      </w:r>
      <w:r w:rsidRPr="00B4649F">
        <w:rPr>
          <w:szCs w:val="20"/>
          <w:lang w:val="nl-NL"/>
        </w:rPr>
        <w:t xml:space="preserve"> - </w:t>
      </w:r>
      <w:r w:rsidRPr="00B4649F">
        <w:rPr>
          <w:i/>
          <w:iCs/>
          <w:szCs w:val="20"/>
          <w:lang w:val="nl-NL"/>
        </w:rPr>
        <w:t xml:space="preserve">Boek 1, </w:t>
      </w:r>
      <w:r w:rsidRPr="00B4649F">
        <w:rPr>
          <w:szCs w:val="20"/>
          <w:lang w:val="nl-NL"/>
        </w:rPr>
        <w:t xml:space="preserve">Brugge, die </w:t>
      </w:r>
      <w:proofErr w:type="spellStart"/>
      <w:r w:rsidRPr="00B4649F">
        <w:rPr>
          <w:szCs w:val="20"/>
          <w:lang w:val="nl-NL"/>
        </w:rPr>
        <w:t>Keure</w:t>
      </w:r>
      <w:proofErr w:type="spellEnd"/>
      <w:r w:rsidRPr="00B4649F">
        <w:rPr>
          <w:szCs w:val="20"/>
          <w:lang w:val="nl-NL"/>
        </w:rPr>
        <w:t>, 2022, 348 p.</w:t>
      </w:r>
    </w:p>
    <w:p w14:paraId="4A83482A" w14:textId="77777777" w:rsidR="00BD18A3" w:rsidRPr="00ED4CA6" w:rsidRDefault="00BD18A3" w:rsidP="00BD18A3"/>
    <w:p w14:paraId="297449A7" w14:textId="77777777" w:rsidR="00BD18A3" w:rsidRDefault="00BD18A3" w:rsidP="00BD18A3">
      <w:pPr>
        <w:rPr>
          <w:szCs w:val="20"/>
        </w:rPr>
      </w:pPr>
      <w:r w:rsidRPr="00DD09D0">
        <w:rPr>
          <w:szCs w:val="20"/>
        </w:rPr>
        <w:t>SWENNEN,</w:t>
      </w:r>
      <w:r>
        <w:rPr>
          <w:szCs w:val="20"/>
        </w:rPr>
        <w:t xml:space="preserve"> F.,</w:t>
      </w:r>
      <w:r w:rsidRPr="00DD09D0">
        <w:rPr>
          <w:szCs w:val="20"/>
        </w:rPr>
        <w:t xml:space="preserve"> “Alimentatie tussen partners” in FORDER</w:t>
      </w:r>
      <w:r>
        <w:rPr>
          <w:szCs w:val="20"/>
        </w:rPr>
        <w:t>, C.</w:t>
      </w:r>
      <w:r w:rsidRPr="00DD09D0">
        <w:rPr>
          <w:szCs w:val="20"/>
        </w:rPr>
        <w:t xml:space="preserve"> en</w:t>
      </w:r>
      <w:r>
        <w:rPr>
          <w:szCs w:val="20"/>
        </w:rPr>
        <w:t xml:space="preserve"> </w:t>
      </w:r>
      <w:r w:rsidRPr="00DD09D0">
        <w:rPr>
          <w:szCs w:val="20"/>
        </w:rPr>
        <w:t>VERBEKE</w:t>
      </w:r>
      <w:r>
        <w:rPr>
          <w:szCs w:val="20"/>
        </w:rPr>
        <w:t>, A.</w:t>
      </w:r>
      <w:r w:rsidRPr="00DD09D0">
        <w:rPr>
          <w:szCs w:val="20"/>
        </w:rPr>
        <w:t xml:space="preserve"> (eds.), </w:t>
      </w:r>
      <w:r w:rsidRPr="00DD09D0">
        <w:rPr>
          <w:i/>
          <w:iCs/>
          <w:szCs w:val="20"/>
        </w:rPr>
        <w:t>Gehuwd of niet, maakt het iets uit?</w:t>
      </w:r>
      <w:r w:rsidRPr="00DD09D0">
        <w:rPr>
          <w:szCs w:val="20"/>
        </w:rPr>
        <w:t>, Antwerpen, Intersentia, 2005, 285-314.</w:t>
      </w:r>
    </w:p>
    <w:p w14:paraId="6D3A4FB3" w14:textId="77777777" w:rsidR="00BD18A3" w:rsidRPr="002A5258" w:rsidRDefault="00BD18A3" w:rsidP="00BD18A3"/>
    <w:p w14:paraId="71108388" w14:textId="77777777" w:rsidR="00BD18A3" w:rsidRDefault="00BD18A3" w:rsidP="00BD18A3">
      <w:pPr>
        <w:rPr>
          <w:szCs w:val="20"/>
        </w:rPr>
      </w:pPr>
      <w:r w:rsidRPr="00601DB9">
        <w:rPr>
          <w:szCs w:val="20"/>
        </w:rPr>
        <w:t xml:space="preserve">SWENNEN, F., </w:t>
      </w:r>
      <w:r w:rsidRPr="00601DB9">
        <w:rPr>
          <w:i/>
          <w:iCs/>
          <w:szCs w:val="20"/>
        </w:rPr>
        <w:t xml:space="preserve">Het personen- en familierecht, </w:t>
      </w:r>
      <w:r w:rsidRPr="00601DB9">
        <w:rPr>
          <w:szCs w:val="20"/>
        </w:rPr>
        <w:t>Antwerpen, Intersentia, 2023, 641 p.</w:t>
      </w:r>
    </w:p>
    <w:p w14:paraId="2192DBD7" w14:textId="77777777" w:rsidR="00BD18A3" w:rsidRDefault="00BD18A3" w:rsidP="00BD18A3">
      <w:pPr>
        <w:rPr>
          <w:szCs w:val="20"/>
        </w:rPr>
      </w:pPr>
    </w:p>
    <w:p w14:paraId="1A087C15" w14:textId="77777777" w:rsidR="00BD18A3" w:rsidRDefault="00BD18A3" w:rsidP="00BD18A3">
      <w:pPr>
        <w:rPr>
          <w:lang w:val="en-US"/>
        </w:rPr>
      </w:pPr>
      <w:r>
        <w:rPr>
          <w:lang w:val="en-US"/>
        </w:rPr>
        <w:t xml:space="preserve">TAINMONT, F., “Les </w:t>
      </w:r>
      <w:proofErr w:type="spellStart"/>
      <w:r>
        <w:rPr>
          <w:lang w:val="en-US"/>
        </w:rPr>
        <w:t>effets</w:t>
      </w:r>
      <w:proofErr w:type="spellEnd"/>
      <w:r>
        <w:rPr>
          <w:lang w:val="en-US"/>
        </w:rPr>
        <w:t xml:space="preserve"> à la dissolution du </w:t>
      </w:r>
      <w:proofErr w:type="spellStart"/>
      <w:r>
        <w:rPr>
          <w:lang w:val="en-US"/>
        </w:rPr>
        <w:t>statut</w:t>
      </w:r>
      <w:proofErr w:type="spellEnd"/>
      <w:r>
        <w:rPr>
          <w:lang w:val="en-US"/>
        </w:rPr>
        <w:t xml:space="preserve"> par </w:t>
      </w:r>
      <w:proofErr w:type="spellStart"/>
      <w:r>
        <w:rPr>
          <w:lang w:val="en-US"/>
        </w:rPr>
        <w:t>décès</w:t>
      </w:r>
      <w:proofErr w:type="spellEnd"/>
      <w:r>
        <w:rPr>
          <w:lang w:val="en-US"/>
        </w:rPr>
        <w:t xml:space="preserve">” in HAUSER, J. </w:t>
      </w:r>
      <w:proofErr w:type="spellStart"/>
      <w:r>
        <w:rPr>
          <w:lang w:val="en-US"/>
        </w:rPr>
        <w:t>en</w:t>
      </w:r>
      <w:proofErr w:type="spellEnd"/>
      <w:r>
        <w:rPr>
          <w:lang w:val="en-US"/>
        </w:rPr>
        <w:t xml:space="preserve"> RENCHON, J.-L. (eds.), </w:t>
      </w:r>
      <w:r>
        <w:rPr>
          <w:i/>
          <w:iCs/>
          <w:lang w:val="en-US"/>
        </w:rPr>
        <w:t xml:space="preserve">Le </w:t>
      </w:r>
      <w:proofErr w:type="spellStart"/>
      <w:r>
        <w:rPr>
          <w:i/>
          <w:iCs/>
          <w:lang w:val="en-US"/>
        </w:rPr>
        <w:t>statut</w:t>
      </w:r>
      <w:proofErr w:type="spellEnd"/>
      <w:r>
        <w:rPr>
          <w:i/>
          <w:iCs/>
          <w:lang w:val="en-US"/>
        </w:rPr>
        <w:t xml:space="preserve"> </w:t>
      </w:r>
      <w:proofErr w:type="spellStart"/>
      <w:r>
        <w:rPr>
          <w:i/>
          <w:iCs/>
          <w:lang w:val="en-US"/>
        </w:rPr>
        <w:t>juridique</w:t>
      </w:r>
      <w:proofErr w:type="spellEnd"/>
      <w:r>
        <w:rPr>
          <w:i/>
          <w:iCs/>
          <w:lang w:val="en-US"/>
        </w:rPr>
        <w:t xml:space="preserve"> du couple </w:t>
      </w:r>
      <w:proofErr w:type="spellStart"/>
      <w:r>
        <w:rPr>
          <w:i/>
          <w:iCs/>
          <w:lang w:val="en-US"/>
        </w:rPr>
        <w:t>marié</w:t>
      </w:r>
      <w:proofErr w:type="spellEnd"/>
      <w:r>
        <w:rPr>
          <w:i/>
          <w:iCs/>
          <w:lang w:val="en-US"/>
        </w:rPr>
        <w:t xml:space="preserve"> et du couple non </w:t>
      </w:r>
      <w:proofErr w:type="spellStart"/>
      <w:r>
        <w:rPr>
          <w:i/>
          <w:iCs/>
          <w:lang w:val="en-US"/>
        </w:rPr>
        <w:t>marié</w:t>
      </w:r>
      <w:proofErr w:type="spellEnd"/>
      <w:r>
        <w:rPr>
          <w:i/>
          <w:iCs/>
          <w:lang w:val="en-US"/>
        </w:rPr>
        <w:t xml:space="preserve"> </w:t>
      </w:r>
      <w:proofErr w:type="spellStart"/>
      <w:r>
        <w:rPr>
          <w:i/>
          <w:iCs/>
          <w:lang w:val="en-US"/>
        </w:rPr>
        <w:t>en</w:t>
      </w:r>
      <w:proofErr w:type="spellEnd"/>
      <w:r>
        <w:rPr>
          <w:i/>
          <w:iCs/>
          <w:lang w:val="en-US"/>
        </w:rPr>
        <w:t xml:space="preserve"> droit </w:t>
      </w:r>
      <w:proofErr w:type="spellStart"/>
      <w:r>
        <w:rPr>
          <w:i/>
          <w:iCs/>
          <w:lang w:val="en-US"/>
        </w:rPr>
        <w:t>belge</w:t>
      </w:r>
      <w:proofErr w:type="spellEnd"/>
      <w:r>
        <w:rPr>
          <w:i/>
          <w:iCs/>
          <w:lang w:val="en-US"/>
        </w:rPr>
        <w:t xml:space="preserve"> et </w:t>
      </w:r>
      <w:proofErr w:type="spellStart"/>
      <w:r>
        <w:rPr>
          <w:i/>
          <w:iCs/>
          <w:lang w:val="en-US"/>
        </w:rPr>
        <w:t>français</w:t>
      </w:r>
      <w:proofErr w:type="spellEnd"/>
      <w:r>
        <w:rPr>
          <w:i/>
          <w:iCs/>
          <w:lang w:val="en-US"/>
        </w:rPr>
        <w:t xml:space="preserve">, I, Les </w:t>
      </w:r>
      <w:proofErr w:type="spellStart"/>
      <w:r>
        <w:rPr>
          <w:i/>
          <w:iCs/>
          <w:lang w:val="en-US"/>
        </w:rPr>
        <w:t>statuts</w:t>
      </w:r>
      <w:proofErr w:type="spellEnd"/>
      <w:r>
        <w:rPr>
          <w:i/>
          <w:iCs/>
          <w:lang w:val="en-US"/>
        </w:rPr>
        <w:t xml:space="preserve"> </w:t>
      </w:r>
      <w:proofErr w:type="spellStart"/>
      <w:r>
        <w:rPr>
          <w:i/>
          <w:iCs/>
          <w:lang w:val="en-US"/>
        </w:rPr>
        <w:t>légaux</w:t>
      </w:r>
      <w:proofErr w:type="spellEnd"/>
      <w:r>
        <w:rPr>
          <w:i/>
          <w:iCs/>
          <w:lang w:val="en-US"/>
        </w:rPr>
        <w:t xml:space="preserve"> des couples, </w:t>
      </w:r>
      <w:r>
        <w:rPr>
          <w:lang w:val="en-US"/>
        </w:rPr>
        <w:t xml:space="preserve">Brussel, </w:t>
      </w:r>
      <w:proofErr w:type="spellStart"/>
      <w:r>
        <w:rPr>
          <w:lang w:val="en-US"/>
        </w:rPr>
        <w:t>Larcier</w:t>
      </w:r>
      <w:proofErr w:type="spellEnd"/>
      <w:r>
        <w:rPr>
          <w:lang w:val="en-US"/>
        </w:rPr>
        <w:t>, 2012, 273-318.</w:t>
      </w:r>
    </w:p>
    <w:p w14:paraId="528CF537" w14:textId="77777777" w:rsidR="00BD18A3" w:rsidRPr="00A918F3" w:rsidRDefault="00BD18A3" w:rsidP="00BD18A3">
      <w:pPr>
        <w:rPr>
          <w:szCs w:val="20"/>
          <w:lang w:val="en-US"/>
        </w:rPr>
      </w:pPr>
    </w:p>
    <w:p w14:paraId="04A812AE" w14:textId="77777777" w:rsidR="00BD18A3" w:rsidRPr="002A5258" w:rsidRDefault="00BD18A3" w:rsidP="00BD18A3">
      <w:pPr>
        <w:rPr>
          <w:szCs w:val="20"/>
        </w:rPr>
      </w:pPr>
      <w:r w:rsidRPr="00C23314">
        <w:rPr>
          <w:szCs w:val="20"/>
        </w:rPr>
        <w:t>TORFS</w:t>
      </w:r>
      <w:r>
        <w:rPr>
          <w:szCs w:val="20"/>
        </w:rPr>
        <w:t>, N.</w:t>
      </w:r>
      <w:r w:rsidRPr="00C23314">
        <w:rPr>
          <w:szCs w:val="20"/>
        </w:rPr>
        <w:t xml:space="preserve"> en</w:t>
      </w:r>
      <w:r>
        <w:rPr>
          <w:szCs w:val="20"/>
        </w:rPr>
        <w:t xml:space="preserve"> </w:t>
      </w:r>
      <w:r w:rsidRPr="00C23314">
        <w:rPr>
          <w:szCs w:val="20"/>
        </w:rPr>
        <w:t>VAN SOEST</w:t>
      </w:r>
      <w:r>
        <w:rPr>
          <w:szCs w:val="20"/>
        </w:rPr>
        <w:t>, E.</w:t>
      </w:r>
      <w:r w:rsidRPr="00C23314">
        <w:rPr>
          <w:szCs w:val="20"/>
        </w:rPr>
        <w:t>, “De redactie van een samenlevingsovereenkomst (wettelijke samenwoning)” in</w:t>
      </w:r>
      <w:r>
        <w:rPr>
          <w:szCs w:val="20"/>
        </w:rPr>
        <w:t xml:space="preserve"> </w:t>
      </w:r>
      <w:r w:rsidRPr="00C23314">
        <w:rPr>
          <w:szCs w:val="20"/>
        </w:rPr>
        <w:t>WEYTS</w:t>
      </w:r>
      <w:r>
        <w:rPr>
          <w:szCs w:val="20"/>
        </w:rPr>
        <w:t>, L.</w:t>
      </w:r>
      <w:r w:rsidRPr="00C23314">
        <w:rPr>
          <w:szCs w:val="20"/>
        </w:rPr>
        <w:t>,</w:t>
      </w:r>
      <w:r>
        <w:rPr>
          <w:szCs w:val="20"/>
        </w:rPr>
        <w:t xml:space="preserve"> </w:t>
      </w:r>
      <w:r w:rsidRPr="00C23314">
        <w:rPr>
          <w:szCs w:val="20"/>
        </w:rPr>
        <w:t>VERBEKE</w:t>
      </w:r>
      <w:r>
        <w:rPr>
          <w:szCs w:val="20"/>
        </w:rPr>
        <w:t>, A.-L.</w:t>
      </w:r>
      <w:r w:rsidRPr="00C23314">
        <w:rPr>
          <w:szCs w:val="20"/>
        </w:rPr>
        <w:t xml:space="preserve"> en</w:t>
      </w:r>
      <w:r>
        <w:rPr>
          <w:szCs w:val="20"/>
        </w:rPr>
        <w:t xml:space="preserve"> </w:t>
      </w:r>
      <w:r w:rsidRPr="00C23314">
        <w:rPr>
          <w:szCs w:val="20"/>
        </w:rPr>
        <w:t>GOOVAERTS</w:t>
      </w:r>
      <w:r>
        <w:rPr>
          <w:szCs w:val="20"/>
        </w:rPr>
        <w:t>, E.</w:t>
      </w:r>
      <w:r w:rsidRPr="00C23314">
        <w:rPr>
          <w:szCs w:val="20"/>
        </w:rPr>
        <w:t xml:space="preserve"> (eds.), </w:t>
      </w:r>
      <w:r w:rsidRPr="00C23314">
        <w:rPr>
          <w:i/>
          <w:iCs/>
          <w:szCs w:val="20"/>
        </w:rPr>
        <w:t xml:space="preserve">Actualia Familiaal Vermogensrecht, </w:t>
      </w:r>
      <w:r w:rsidRPr="00C23314">
        <w:rPr>
          <w:szCs w:val="20"/>
        </w:rPr>
        <w:t>Leuven, Universitaire Pers Leuven, 2003, 59-76.</w:t>
      </w:r>
    </w:p>
    <w:p w14:paraId="3EE14C91" w14:textId="77777777" w:rsidR="00BD18A3" w:rsidRPr="002A5258" w:rsidRDefault="00BD18A3" w:rsidP="00BD18A3"/>
    <w:p w14:paraId="644328B8" w14:textId="77777777" w:rsidR="00BD18A3" w:rsidRDefault="00BD18A3" w:rsidP="00BD18A3">
      <w:pPr>
        <w:rPr>
          <w:lang w:val="en-US"/>
        </w:rPr>
      </w:pPr>
      <w:r w:rsidRPr="00825CCC">
        <w:rPr>
          <w:lang w:val="en-US"/>
        </w:rPr>
        <w:lastRenderedPageBreak/>
        <w:t>VAN GYSEL,</w:t>
      </w:r>
      <w:r>
        <w:rPr>
          <w:lang w:val="en-US"/>
        </w:rPr>
        <w:t xml:space="preserve"> A.-C.,</w:t>
      </w:r>
      <w:r w:rsidRPr="00825CCC">
        <w:rPr>
          <w:lang w:val="en-US"/>
        </w:rPr>
        <w:t xml:space="preserve"> “La cohabitation </w:t>
      </w:r>
      <w:proofErr w:type="spellStart"/>
      <w:r w:rsidRPr="00825CCC">
        <w:rPr>
          <w:lang w:val="en-US"/>
        </w:rPr>
        <w:t>légale</w:t>
      </w:r>
      <w:proofErr w:type="spellEnd"/>
      <w:r w:rsidRPr="00825CCC">
        <w:rPr>
          <w:lang w:val="en-US"/>
        </w:rPr>
        <w:t xml:space="preserve">: quo </w:t>
      </w:r>
      <w:proofErr w:type="spellStart"/>
      <w:r w:rsidRPr="00825CCC">
        <w:rPr>
          <w:lang w:val="en-US"/>
        </w:rPr>
        <w:t>vadis</w:t>
      </w:r>
      <w:proofErr w:type="spellEnd"/>
      <w:r w:rsidRPr="00825CCC">
        <w:rPr>
          <w:lang w:val="en-US"/>
        </w:rPr>
        <w:t xml:space="preserve">?”, </w:t>
      </w:r>
      <w:r w:rsidRPr="00825CCC">
        <w:rPr>
          <w:i/>
          <w:iCs/>
          <w:lang w:val="en-US"/>
        </w:rPr>
        <w:t xml:space="preserve">RTDF </w:t>
      </w:r>
      <w:r w:rsidRPr="00825CCC">
        <w:rPr>
          <w:lang w:val="en-US"/>
        </w:rPr>
        <w:t>2015,</w:t>
      </w:r>
      <w:r>
        <w:rPr>
          <w:lang w:val="en-US"/>
        </w:rPr>
        <w:t xml:space="preserve"> 9-40.</w:t>
      </w:r>
    </w:p>
    <w:p w14:paraId="7F7E1712" w14:textId="77777777" w:rsidR="00BD18A3" w:rsidRPr="00A918F3" w:rsidRDefault="00BD18A3" w:rsidP="00BD18A3">
      <w:pPr>
        <w:rPr>
          <w:lang w:val="en-US"/>
        </w:rPr>
      </w:pPr>
    </w:p>
    <w:p w14:paraId="234813E3" w14:textId="77777777" w:rsidR="00BD18A3" w:rsidRDefault="00BD18A3" w:rsidP="00BD18A3">
      <w:r w:rsidRPr="001259C9">
        <w:t xml:space="preserve">VAN GYSEL, A.-C. en SAUVAGE, J., </w:t>
      </w:r>
      <w:r w:rsidRPr="001259C9">
        <w:rPr>
          <w:i/>
          <w:iCs/>
        </w:rPr>
        <w:t>Le couple</w:t>
      </w:r>
      <w:r w:rsidRPr="001259C9">
        <w:t>, Limal, Anthemis, 2022, 574 p.</w:t>
      </w:r>
    </w:p>
    <w:p w14:paraId="1F2FB92B" w14:textId="77777777" w:rsidR="00BD18A3" w:rsidRDefault="00BD18A3" w:rsidP="00BD18A3"/>
    <w:p w14:paraId="04DF67F6" w14:textId="77777777" w:rsidR="00BD18A3" w:rsidRDefault="00BD18A3" w:rsidP="00BD18A3">
      <w:pPr>
        <w:rPr>
          <w:szCs w:val="20"/>
        </w:rPr>
      </w:pPr>
      <w:r w:rsidRPr="00D108EA">
        <w:rPr>
          <w:szCs w:val="20"/>
        </w:rPr>
        <w:t xml:space="preserve">VERSCHELDEN, G., </w:t>
      </w:r>
      <w:r w:rsidRPr="00D108EA">
        <w:rPr>
          <w:i/>
          <w:iCs/>
          <w:szCs w:val="20"/>
        </w:rPr>
        <w:t xml:space="preserve">Handboek Belgisch Personen-, familie- en relatievermogensrecht, </w:t>
      </w:r>
      <w:r w:rsidRPr="00D108EA">
        <w:rPr>
          <w:szCs w:val="20"/>
        </w:rPr>
        <w:t>Brugge, die Keure, 2023, 1232 p.</w:t>
      </w:r>
    </w:p>
    <w:p w14:paraId="09A40AD5" w14:textId="77777777" w:rsidR="00BD18A3" w:rsidRDefault="00BD18A3" w:rsidP="00BD18A3">
      <w:pPr>
        <w:rPr>
          <w:szCs w:val="20"/>
        </w:rPr>
      </w:pPr>
    </w:p>
    <w:p w14:paraId="75404546" w14:textId="77777777" w:rsidR="00BD18A3" w:rsidRPr="002A5258" w:rsidRDefault="00BD18A3" w:rsidP="00BD18A3">
      <w:r w:rsidRPr="0002063A">
        <w:t>VERSTRAETE,</w:t>
      </w:r>
      <w:r>
        <w:t xml:space="preserve"> J., </w:t>
      </w:r>
      <w:r w:rsidRPr="0002063A">
        <w:t>“Beschermingstechnieken (andere dan tontine- en aanwasbedingen) tussen ongehuwd samenwonenden” in MATTHIJS,</w:t>
      </w:r>
      <w:r>
        <w:t xml:space="preserve"> K., </w:t>
      </w:r>
      <w:r w:rsidRPr="0002063A">
        <w:t>VERSTRAETE,</w:t>
      </w:r>
      <w:r>
        <w:t xml:space="preserve"> J., </w:t>
      </w:r>
      <w:r w:rsidRPr="0002063A">
        <w:t>BAEL,</w:t>
      </w:r>
      <w:r>
        <w:t xml:space="preserve"> J., </w:t>
      </w:r>
      <w:r w:rsidRPr="0002063A">
        <w:t>LELEU,</w:t>
      </w:r>
      <w:r>
        <w:t xml:space="preserve"> </w:t>
      </w:r>
      <w:r w:rsidRPr="0002063A">
        <w:t>Y.-H</w:t>
      </w:r>
      <w:r>
        <w:t xml:space="preserve">., </w:t>
      </w:r>
      <w:r w:rsidRPr="0002063A">
        <w:t>WYLLEMAN,</w:t>
      </w:r>
      <w:r>
        <w:t xml:space="preserve"> A., </w:t>
      </w:r>
      <w:r w:rsidRPr="0002063A">
        <w:t>CASMAN</w:t>
      </w:r>
      <w:r>
        <w:t>, H.</w:t>
      </w:r>
      <w:r w:rsidRPr="0002063A">
        <w:t xml:space="preserve"> en</w:t>
      </w:r>
      <w:r>
        <w:t xml:space="preserve"> </w:t>
      </w:r>
      <w:r w:rsidRPr="0002063A">
        <w:t>RENCHON,</w:t>
      </w:r>
      <w:r>
        <w:t xml:space="preserve"> J.-L. (eds.),</w:t>
      </w:r>
      <w:r w:rsidRPr="0002063A">
        <w:t xml:space="preserve"> </w:t>
      </w:r>
      <w:r w:rsidRPr="000608C8">
        <w:rPr>
          <w:i/>
          <w:iCs/>
        </w:rPr>
        <w:t>Familie op maat</w:t>
      </w:r>
      <w:r w:rsidRPr="0002063A">
        <w:t>, Mechelen, Kluwer, 2005,</w:t>
      </w:r>
      <w:r>
        <w:t xml:space="preserve"> </w:t>
      </w:r>
      <w:r w:rsidRPr="0002063A">
        <w:t>25</w:t>
      </w:r>
      <w:r>
        <w:t>-87</w:t>
      </w:r>
      <w:r w:rsidRPr="0002063A">
        <w:t>.</w:t>
      </w:r>
    </w:p>
    <w:p w14:paraId="3DAE7B9A" w14:textId="77777777" w:rsidR="00BD18A3" w:rsidRDefault="00BD18A3" w:rsidP="00BD18A3">
      <w:pPr>
        <w:rPr>
          <w:szCs w:val="20"/>
        </w:rPr>
      </w:pPr>
    </w:p>
    <w:p w14:paraId="69C88F72" w14:textId="77777777" w:rsidR="00BD18A3" w:rsidRPr="002A5258" w:rsidRDefault="00BD18A3" w:rsidP="00BD18A3">
      <w:pPr>
        <w:rPr>
          <w:szCs w:val="20"/>
        </w:rPr>
      </w:pPr>
      <w:r w:rsidRPr="00AF70D9">
        <w:rPr>
          <w:szCs w:val="20"/>
        </w:rPr>
        <w:t>VINCK,</w:t>
      </w:r>
      <w:r>
        <w:rPr>
          <w:szCs w:val="20"/>
        </w:rPr>
        <w:t xml:space="preserve"> B.,</w:t>
      </w:r>
      <w:r w:rsidRPr="00AF70D9">
        <w:rPr>
          <w:szCs w:val="20"/>
        </w:rPr>
        <w:t xml:space="preserve"> “Wettelijke en feitelijke samenwoning”, </w:t>
      </w:r>
      <w:r w:rsidRPr="00AF70D9">
        <w:rPr>
          <w:i/>
          <w:iCs/>
          <w:szCs w:val="20"/>
        </w:rPr>
        <w:t>TPR</w:t>
      </w:r>
      <w:r w:rsidRPr="00AF70D9">
        <w:rPr>
          <w:szCs w:val="20"/>
        </w:rPr>
        <w:t xml:space="preserve"> 2012, 18</w:t>
      </w:r>
      <w:r>
        <w:rPr>
          <w:szCs w:val="20"/>
        </w:rPr>
        <w:t>19-1849</w:t>
      </w:r>
    </w:p>
    <w:p w14:paraId="4E33F3B6" w14:textId="77777777" w:rsidR="00BD18A3" w:rsidRDefault="00BD18A3" w:rsidP="00BD18A3">
      <w:pPr>
        <w:rPr>
          <w:szCs w:val="20"/>
          <w:lang w:val="fr-BE"/>
        </w:rPr>
      </w:pPr>
    </w:p>
    <w:p w14:paraId="3A196B27" w14:textId="77777777" w:rsidR="00BD18A3" w:rsidRDefault="00BD18A3" w:rsidP="00BD18A3">
      <w:pPr>
        <w:rPr>
          <w:szCs w:val="20"/>
        </w:rPr>
      </w:pPr>
      <w:r w:rsidRPr="008C7903">
        <w:rPr>
          <w:szCs w:val="20"/>
        </w:rPr>
        <w:t xml:space="preserve">VINCK, B., “Overzicht van rechtspraak (2000-2012) – De wettelijke samenwoning”, </w:t>
      </w:r>
      <w:r w:rsidRPr="008C7903">
        <w:rPr>
          <w:i/>
          <w:iCs/>
          <w:szCs w:val="20"/>
        </w:rPr>
        <w:t xml:space="preserve">T.Fam. </w:t>
      </w:r>
      <w:r w:rsidRPr="008C7903">
        <w:rPr>
          <w:szCs w:val="20"/>
        </w:rPr>
        <w:t>2012, 196-206.</w:t>
      </w:r>
    </w:p>
    <w:p w14:paraId="7C308F6E" w14:textId="77777777" w:rsidR="00BD18A3" w:rsidRPr="00ED4CA6" w:rsidRDefault="00BD18A3" w:rsidP="00BD18A3">
      <w:pPr>
        <w:rPr>
          <w:szCs w:val="20"/>
        </w:rPr>
      </w:pPr>
    </w:p>
    <w:p w14:paraId="6DFB6E1D" w14:textId="77777777" w:rsidR="00BD18A3" w:rsidRPr="002C1FDD" w:rsidRDefault="00BD18A3" w:rsidP="00BD18A3">
      <w:pPr>
        <w:pStyle w:val="Kop2"/>
      </w:pPr>
      <w:bookmarkStart w:id="100" w:name="_Toc167990521"/>
      <w:r w:rsidRPr="00293117">
        <w:t>Overige</w:t>
      </w:r>
      <w:bookmarkEnd w:id="100"/>
    </w:p>
    <w:p w14:paraId="61BC31D0" w14:textId="77777777" w:rsidR="00BD18A3" w:rsidRPr="00443D50" w:rsidRDefault="00BD18A3" w:rsidP="00BD18A3">
      <w:r w:rsidRPr="00443D50">
        <w:t xml:space="preserve">STATBEL, </w:t>
      </w:r>
      <w:r w:rsidRPr="00443D50">
        <w:rPr>
          <w:i/>
          <w:iCs/>
        </w:rPr>
        <w:t xml:space="preserve">Huwelijk, </w:t>
      </w:r>
      <w:hyperlink r:id="rId8" w:history="1">
        <w:r w:rsidRPr="00443D50">
          <w:rPr>
            <w:rStyle w:val="Hyperlink"/>
            <w:i/>
            <w:iCs/>
            <w:szCs w:val="20"/>
          </w:rPr>
          <w:t>https://statbel.fgov.be/nl/themas/bevolking/partnerschap/huwelijken</w:t>
        </w:r>
      </w:hyperlink>
      <w:r w:rsidRPr="00443D50">
        <w:rPr>
          <w:i/>
          <w:iCs/>
        </w:rPr>
        <w:t xml:space="preserve"> </w:t>
      </w:r>
      <w:r w:rsidRPr="00443D50">
        <w:t>(consultatie op 15 november 2024).</w:t>
      </w:r>
    </w:p>
    <w:p w14:paraId="0BCFEC55" w14:textId="77777777" w:rsidR="00BD18A3" w:rsidRDefault="00BD18A3" w:rsidP="00BD18A3"/>
    <w:p w14:paraId="42AA1E58" w14:textId="77777777" w:rsidR="00BD18A3" w:rsidRPr="00AE68BA" w:rsidRDefault="00BD18A3" w:rsidP="00BD18A3">
      <w:r w:rsidRPr="00443D50">
        <w:t xml:space="preserve">STATBEL, </w:t>
      </w:r>
      <w:r w:rsidRPr="00443D50">
        <w:rPr>
          <w:i/>
          <w:iCs/>
        </w:rPr>
        <w:t xml:space="preserve">Wettelijke samenwoning, </w:t>
      </w:r>
      <w:hyperlink r:id="rId9" w:history="1">
        <w:r w:rsidRPr="00443D50">
          <w:rPr>
            <w:rStyle w:val="Hyperlink"/>
            <w:i/>
            <w:iCs/>
            <w:szCs w:val="20"/>
          </w:rPr>
          <w:t>https://statbel.fgov.be/nl/themas/bevolking/partnerschap/wettelijke-samenwoning</w:t>
        </w:r>
      </w:hyperlink>
      <w:r w:rsidRPr="00443D50">
        <w:rPr>
          <w:i/>
          <w:iCs/>
        </w:rPr>
        <w:t xml:space="preserve"> </w:t>
      </w:r>
      <w:r w:rsidRPr="00443D50">
        <w:t>(consultatie op 15 november 2023).</w:t>
      </w:r>
    </w:p>
    <w:p w14:paraId="135AE8EB" w14:textId="77777777" w:rsidR="00BD18A3" w:rsidRDefault="00BD18A3" w:rsidP="00BD18A3">
      <w:pPr>
        <w:rPr>
          <w:sz w:val="16"/>
          <w:szCs w:val="21"/>
        </w:rPr>
      </w:pPr>
    </w:p>
    <w:p w14:paraId="21A635C5" w14:textId="77777777" w:rsidR="00BD18A3" w:rsidRDefault="00BD18A3" w:rsidP="00BD18A3">
      <w:r w:rsidRPr="00443D50">
        <w:t xml:space="preserve">STATBEL, </w:t>
      </w:r>
      <w:r w:rsidRPr="00443D50">
        <w:rPr>
          <w:i/>
          <w:iCs/>
        </w:rPr>
        <w:t xml:space="preserve">Wettelijke samenwoning, </w:t>
      </w:r>
      <w:hyperlink r:id="rId10" w:anchor="ruim-6-op-10-wettelijke-samenwoningen-stopgezet-om-te-huwen" w:history="1">
        <w:r w:rsidRPr="00443D50">
          <w:rPr>
            <w:rStyle w:val="Hyperlink"/>
            <w:i/>
            <w:iCs/>
            <w:szCs w:val="20"/>
          </w:rPr>
          <w:t>https://www.vlaanderen.be/statistiek-vlaanderen/bevolking/stopzetting-van-wettelijke-samenwoningen#ruim-6-op-10-wettelijke-samenwoningen-stopgezet-om-te-huwen</w:t>
        </w:r>
      </w:hyperlink>
      <w:r w:rsidRPr="00443D50">
        <w:rPr>
          <w:i/>
          <w:iCs/>
        </w:rPr>
        <w:t xml:space="preserve"> </w:t>
      </w:r>
      <w:r w:rsidRPr="00443D50">
        <w:t>(consultatie op 29 november 2023).</w:t>
      </w:r>
    </w:p>
    <w:p w14:paraId="00699B77" w14:textId="77777777" w:rsidR="00BD18A3" w:rsidRDefault="00BD18A3" w:rsidP="00BD18A3"/>
    <w:p w14:paraId="6E7DCFFC" w14:textId="77777777" w:rsidR="00BD18A3" w:rsidRPr="002C1FDD" w:rsidRDefault="00BD18A3" w:rsidP="00BD18A3">
      <w:pPr>
        <w:pStyle w:val="Voetnoottekst"/>
        <w:spacing w:line="360" w:lineRule="auto"/>
      </w:pPr>
      <w:r w:rsidRPr="00CE7AEF">
        <w:t xml:space="preserve">VLAAMSE OVERHEID, </w:t>
      </w:r>
      <w:r w:rsidRPr="00CE7AEF">
        <w:rPr>
          <w:i/>
          <w:iCs/>
        </w:rPr>
        <w:t xml:space="preserve">Statistiek Vlaanderen, </w:t>
      </w:r>
      <w:hyperlink r:id="rId11" w:history="1">
        <w:r w:rsidRPr="00CE7AEF">
          <w:rPr>
            <w:rStyle w:val="Hyperlink"/>
          </w:rPr>
          <w:t>https://www.vlaanderen.be/statistiek-vlaanderen/bevolking/echtscheidingen</w:t>
        </w:r>
      </w:hyperlink>
      <w:r w:rsidRPr="00CE7AEF">
        <w:t xml:space="preserve"> (consultatie op 9 april 2024).</w:t>
      </w:r>
    </w:p>
    <w:p w14:paraId="6704DACE" w14:textId="77777777" w:rsidR="00BD18A3" w:rsidRDefault="00BD18A3"/>
    <w:sectPr w:rsidR="00BD18A3" w:rsidSect="00816378">
      <w:footerReference w:type="even" r:id="rId12"/>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C7D5F2" w14:textId="77777777" w:rsidR="00095038" w:rsidRDefault="00095038" w:rsidP="00BD18A3">
      <w:pPr>
        <w:spacing w:line="240" w:lineRule="auto"/>
      </w:pPr>
      <w:r>
        <w:separator/>
      </w:r>
    </w:p>
  </w:endnote>
  <w:endnote w:type="continuationSeparator" w:id="0">
    <w:p w14:paraId="5E79E62F" w14:textId="77777777" w:rsidR="00095038" w:rsidRDefault="00095038" w:rsidP="00BD18A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 w:name="Verdana">
    <w:panose1 w:val="020B0604030504040204"/>
    <w:charset w:val="00"/>
    <w:family w:val="swiss"/>
    <w:pitch w:val="variable"/>
    <w:sig w:usb0="A10006FF" w:usb1="4000205B" w:usb2="00000010" w:usb3="00000000" w:csb0="0000019F" w:csb1="00000000"/>
  </w:font>
  <w:font w:name="Times New Roman (Hoofdtekst CS)">
    <w:altName w:val="Times New Roman"/>
    <w:panose1 w:val="020B0604020202020204"/>
    <w:charset w:val="00"/>
    <w:family w:val="roman"/>
    <w:notTrueType/>
    <w:pitch w:val="default"/>
  </w:font>
  <w:font w:name="Arial MT">
    <w:altName w:val="Arial"/>
    <w:panose1 w:val="020B0604020202020204"/>
    <w:charset w:val="01"/>
    <w:family w:val="swiss"/>
    <w:pitch w:val="variable"/>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801762708"/>
      <w:docPartObj>
        <w:docPartGallery w:val="Page Numbers (Bottom of Page)"/>
        <w:docPartUnique/>
      </w:docPartObj>
    </w:sdtPr>
    <w:sdtContent>
      <w:p w14:paraId="563771ED" w14:textId="77777777" w:rsidR="00000000" w:rsidRDefault="00000000" w:rsidP="00F9274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end"/>
        </w:r>
      </w:p>
    </w:sdtContent>
  </w:sdt>
  <w:p w14:paraId="281A749B" w14:textId="77777777" w:rsidR="00000000" w:rsidRDefault="00000000" w:rsidP="00F9274F">
    <w:pPr>
      <w:pStyle w:val="Voettekst"/>
      <w:ind w:right="360"/>
    </w:pPr>
  </w:p>
  <w:p w14:paraId="19F81A2E" w14:textId="77777777" w:rsidR="00000000" w:rsidRDefault="0000000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inanummer"/>
      </w:rPr>
      <w:id w:val="-1893348820"/>
      <w:docPartObj>
        <w:docPartGallery w:val="Page Numbers (Bottom of Page)"/>
        <w:docPartUnique/>
      </w:docPartObj>
    </w:sdtPr>
    <w:sdtContent>
      <w:p w14:paraId="4F813C72" w14:textId="77777777" w:rsidR="00000000" w:rsidRDefault="00000000" w:rsidP="00F9274F">
        <w:pPr>
          <w:pStyle w:val="Voettekst"/>
          <w:framePr w:wrap="none" w:vAnchor="text" w:hAnchor="margin" w:xAlign="right" w:y="1"/>
          <w:rPr>
            <w:rStyle w:val="Paginanummer"/>
          </w:rPr>
        </w:pPr>
        <w:r>
          <w:rPr>
            <w:rStyle w:val="Paginanummer"/>
          </w:rPr>
          <w:fldChar w:fldCharType="begin"/>
        </w:r>
        <w:r>
          <w:rPr>
            <w:rStyle w:val="Paginanummer"/>
          </w:rPr>
          <w:instrText xml:space="preserve"> PAGE </w:instrText>
        </w:r>
        <w:r>
          <w:rPr>
            <w:rStyle w:val="Paginanummer"/>
          </w:rPr>
          <w:fldChar w:fldCharType="separate"/>
        </w:r>
        <w:r>
          <w:rPr>
            <w:rStyle w:val="Paginanummer"/>
            <w:noProof/>
          </w:rPr>
          <w:t>5</w:t>
        </w:r>
        <w:r>
          <w:rPr>
            <w:rStyle w:val="Paginanummer"/>
            <w:noProof/>
          </w:rPr>
          <w:t>5</w:t>
        </w:r>
        <w:r>
          <w:rPr>
            <w:rStyle w:val="Paginanummer"/>
          </w:rPr>
          <w:fldChar w:fldCharType="end"/>
        </w:r>
      </w:p>
    </w:sdtContent>
  </w:sdt>
  <w:p w14:paraId="2BF8B33D" w14:textId="77777777" w:rsidR="00000000" w:rsidRDefault="00000000" w:rsidP="00F9274F">
    <w:pPr>
      <w:pStyle w:val="Voettekst"/>
      <w:ind w:right="360"/>
    </w:pPr>
  </w:p>
  <w:p w14:paraId="7F00EC1F" w14:textId="77777777" w:rsidR="00000000" w:rsidRDefault="0000000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BCBB7" w14:textId="77777777" w:rsidR="00095038" w:rsidRDefault="00095038" w:rsidP="00BD18A3">
      <w:pPr>
        <w:spacing w:line="240" w:lineRule="auto"/>
      </w:pPr>
      <w:r>
        <w:separator/>
      </w:r>
    </w:p>
  </w:footnote>
  <w:footnote w:type="continuationSeparator" w:id="0">
    <w:p w14:paraId="0603CB3F" w14:textId="77777777" w:rsidR="00095038" w:rsidRDefault="00095038" w:rsidP="00BD18A3">
      <w:pPr>
        <w:spacing w:line="240" w:lineRule="auto"/>
      </w:pPr>
      <w:r>
        <w:continuationSeparator/>
      </w:r>
    </w:p>
  </w:footnote>
  <w:footnote w:id="1">
    <w:p w14:paraId="057C44D1" w14:textId="77777777" w:rsidR="00BD18A3" w:rsidRPr="00E70988" w:rsidRDefault="00BD18A3" w:rsidP="00BD18A3">
      <w:pPr>
        <w:pStyle w:val="Voetnoottekst"/>
        <w:rPr>
          <w:lang w:val="nl-NL"/>
        </w:rPr>
      </w:pPr>
      <w:r>
        <w:rPr>
          <w:rStyle w:val="Voetnootmarkering"/>
        </w:rPr>
        <w:footnoteRef/>
      </w:r>
      <w:r>
        <w:t xml:space="preserve"> </w:t>
      </w:r>
      <w:r>
        <w:rPr>
          <w:sz w:val="16"/>
          <w:szCs w:val="16"/>
        </w:rPr>
        <w:t xml:space="preserve">VLAAMSE OVERHEID, </w:t>
      </w:r>
      <w:r>
        <w:rPr>
          <w:i/>
          <w:iCs/>
          <w:sz w:val="16"/>
          <w:szCs w:val="16"/>
        </w:rPr>
        <w:t xml:space="preserve">Statistiek Vlaanderen, </w:t>
      </w:r>
      <w:hyperlink r:id="rId1" w:history="1">
        <w:r w:rsidRPr="006B79A5">
          <w:rPr>
            <w:rStyle w:val="Hyperlink"/>
            <w:sz w:val="16"/>
            <w:szCs w:val="16"/>
          </w:rPr>
          <w:t>https://www.vlaanderen.be/statistiek-vlaanderen/bevolking/echtscheidingen</w:t>
        </w:r>
      </w:hyperlink>
      <w:r>
        <w:rPr>
          <w:sz w:val="16"/>
          <w:szCs w:val="16"/>
        </w:rPr>
        <w:t xml:space="preserve"> (consultatie op 25 februari 2024).</w:t>
      </w:r>
    </w:p>
  </w:footnote>
  <w:footnote w:id="2">
    <w:p w14:paraId="0B68C937" w14:textId="77777777" w:rsidR="00BD18A3" w:rsidRPr="00A23D3C" w:rsidRDefault="00BD18A3" w:rsidP="00BD18A3">
      <w:pPr>
        <w:pStyle w:val="Voetnoottekst"/>
      </w:pPr>
      <w:r>
        <w:rPr>
          <w:rStyle w:val="Voetnootmarkering"/>
        </w:rPr>
        <w:footnoteRef/>
      </w:r>
      <w:r w:rsidRPr="00A23D3C">
        <w:t xml:space="preserve"> </w:t>
      </w:r>
      <w:r>
        <w:rPr>
          <w:sz w:val="16"/>
          <w:szCs w:val="16"/>
        </w:rPr>
        <w:t xml:space="preserve">G. VERSCHELDEN, </w:t>
      </w:r>
      <w:r>
        <w:rPr>
          <w:i/>
          <w:iCs/>
          <w:sz w:val="16"/>
          <w:szCs w:val="16"/>
        </w:rPr>
        <w:t xml:space="preserve">Handboek Belgisch Personen-, familie- en relatievermogensrecht, </w:t>
      </w:r>
      <w:r>
        <w:rPr>
          <w:sz w:val="16"/>
          <w:szCs w:val="16"/>
        </w:rPr>
        <w:t xml:space="preserve">Brugge, die Keure, 2023, 610-611; STATBEL, </w:t>
      </w:r>
      <w:r>
        <w:rPr>
          <w:i/>
          <w:iCs/>
          <w:sz w:val="16"/>
          <w:szCs w:val="16"/>
        </w:rPr>
        <w:t xml:space="preserve">Huwelijk, </w:t>
      </w:r>
      <w:hyperlink r:id="rId2" w:history="1">
        <w:r w:rsidRPr="0074414F">
          <w:rPr>
            <w:rStyle w:val="Hyperlink"/>
            <w:i/>
            <w:iCs/>
            <w:sz w:val="16"/>
            <w:szCs w:val="16"/>
          </w:rPr>
          <w:t>https://statbel.fgov.be/nl/themas/bevolking/partnerschap/huwelijken</w:t>
        </w:r>
      </w:hyperlink>
      <w:r>
        <w:rPr>
          <w:i/>
          <w:iCs/>
          <w:sz w:val="16"/>
          <w:szCs w:val="16"/>
        </w:rPr>
        <w:t xml:space="preserve"> </w:t>
      </w:r>
      <w:r>
        <w:rPr>
          <w:sz w:val="16"/>
          <w:szCs w:val="16"/>
        </w:rPr>
        <w:t>(consultatie op 15 november 2024).</w:t>
      </w:r>
    </w:p>
  </w:footnote>
  <w:footnote w:id="3">
    <w:p w14:paraId="4DFBFACD" w14:textId="77777777" w:rsidR="00BD18A3" w:rsidRPr="00A108C4" w:rsidRDefault="00BD18A3" w:rsidP="00BD18A3">
      <w:pPr>
        <w:pStyle w:val="Voetnoottekst"/>
        <w:rPr>
          <w:sz w:val="16"/>
          <w:szCs w:val="16"/>
        </w:rPr>
      </w:pPr>
      <w:r>
        <w:rPr>
          <w:rStyle w:val="Voetnootmarkering"/>
        </w:rPr>
        <w:footnoteRef/>
      </w:r>
      <w:r>
        <w:t xml:space="preserve"> </w:t>
      </w:r>
      <w:r>
        <w:rPr>
          <w:sz w:val="16"/>
          <w:szCs w:val="16"/>
        </w:rPr>
        <w:t xml:space="preserve">Wet 23 november 1998 tot invoering van de wettelijke samenwoning, </w:t>
      </w:r>
      <w:r>
        <w:rPr>
          <w:i/>
          <w:iCs/>
          <w:sz w:val="16"/>
          <w:szCs w:val="16"/>
        </w:rPr>
        <w:t xml:space="preserve">BS </w:t>
      </w:r>
      <w:r>
        <w:rPr>
          <w:sz w:val="16"/>
          <w:szCs w:val="16"/>
        </w:rPr>
        <w:t>12 januari 1999.</w:t>
      </w:r>
    </w:p>
  </w:footnote>
  <w:footnote w:id="4">
    <w:p w14:paraId="56D170AC" w14:textId="77777777" w:rsidR="00BD18A3" w:rsidRPr="00C66959" w:rsidRDefault="00BD18A3" w:rsidP="00BD18A3">
      <w:pPr>
        <w:pStyle w:val="Voetnoottekst"/>
      </w:pPr>
      <w:r>
        <w:rPr>
          <w:rStyle w:val="Voetnootmarkering"/>
        </w:rPr>
        <w:footnoteRef/>
      </w:r>
      <w:r w:rsidRPr="00C66959">
        <w:t xml:space="preserve"> </w:t>
      </w:r>
      <w:r w:rsidRPr="00A23D3C">
        <w:rPr>
          <w:sz w:val="16"/>
          <w:szCs w:val="16"/>
        </w:rPr>
        <w:t xml:space="preserve">E. GOOSSENS, </w:t>
      </w:r>
      <w:r>
        <w:rPr>
          <w:sz w:val="16"/>
          <w:szCs w:val="16"/>
        </w:rPr>
        <w:t>“</w:t>
      </w:r>
      <w:r w:rsidRPr="00A23D3C">
        <w:rPr>
          <w:sz w:val="16"/>
          <w:szCs w:val="16"/>
        </w:rPr>
        <w:t>Kompas voor een nieuw samenwoning</w:t>
      </w:r>
      <w:r>
        <w:rPr>
          <w:sz w:val="16"/>
          <w:szCs w:val="16"/>
        </w:rPr>
        <w:t>s</w:t>
      </w:r>
      <w:r w:rsidRPr="00A23D3C">
        <w:rPr>
          <w:sz w:val="16"/>
          <w:szCs w:val="16"/>
        </w:rPr>
        <w:t>recht: neutraal, coherent en compensatie- en behoeftegericht</w:t>
      </w:r>
      <w:r>
        <w:rPr>
          <w:sz w:val="16"/>
          <w:szCs w:val="16"/>
        </w:rPr>
        <w:t>”</w:t>
      </w:r>
      <w:r w:rsidRPr="00A23D3C">
        <w:rPr>
          <w:sz w:val="16"/>
          <w:szCs w:val="16"/>
        </w:rPr>
        <w:t xml:space="preserve">, </w:t>
      </w:r>
      <w:r w:rsidRPr="00A23D3C">
        <w:rPr>
          <w:i/>
          <w:iCs/>
          <w:sz w:val="16"/>
          <w:szCs w:val="16"/>
        </w:rPr>
        <w:t xml:space="preserve">TBBR </w:t>
      </w:r>
      <w:r w:rsidRPr="00A23D3C">
        <w:rPr>
          <w:sz w:val="16"/>
          <w:szCs w:val="16"/>
        </w:rPr>
        <w:t xml:space="preserve">2019, </w:t>
      </w:r>
      <w:r>
        <w:rPr>
          <w:sz w:val="16"/>
          <w:szCs w:val="16"/>
        </w:rPr>
        <w:t>(</w:t>
      </w:r>
      <w:r w:rsidRPr="00A23D3C">
        <w:rPr>
          <w:sz w:val="16"/>
          <w:szCs w:val="16"/>
        </w:rPr>
        <w:t>537</w:t>
      </w:r>
      <w:r>
        <w:rPr>
          <w:sz w:val="16"/>
          <w:szCs w:val="16"/>
        </w:rPr>
        <w:t xml:space="preserve">) 537; </w:t>
      </w:r>
      <w:r w:rsidRPr="00A23D3C">
        <w:rPr>
          <w:sz w:val="16"/>
          <w:szCs w:val="16"/>
        </w:rPr>
        <w:t xml:space="preserve">A.-C. VAN GYSEL, </w:t>
      </w:r>
      <w:r>
        <w:rPr>
          <w:sz w:val="16"/>
          <w:szCs w:val="16"/>
        </w:rPr>
        <w:t>“</w:t>
      </w:r>
      <w:r w:rsidRPr="00A23D3C">
        <w:rPr>
          <w:sz w:val="16"/>
          <w:szCs w:val="16"/>
        </w:rPr>
        <w:t>La cohabitation légale: quo vadis?</w:t>
      </w:r>
      <w:r>
        <w:rPr>
          <w:sz w:val="16"/>
          <w:szCs w:val="16"/>
        </w:rPr>
        <w:t>”</w:t>
      </w:r>
      <w:r w:rsidRPr="00A23D3C">
        <w:rPr>
          <w:sz w:val="16"/>
          <w:szCs w:val="16"/>
        </w:rPr>
        <w:t xml:space="preserve">, </w:t>
      </w:r>
      <w:r w:rsidRPr="00A23D3C">
        <w:rPr>
          <w:i/>
          <w:iCs/>
          <w:sz w:val="16"/>
          <w:szCs w:val="16"/>
        </w:rPr>
        <w:t xml:space="preserve">RTDF </w:t>
      </w:r>
      <w:r>
        <w:rPr>
          <w:sz w:val="16"/>
          <w:szCs w:val="16"/>
        </w:rPr>
        <w:t xml:space="preserve">2015, (9) 20-22; STATBEL, </w:t>
      </w:r>
      <w:r>
        <w:rPr>
          <w:i/>
          <w:iCs/>
          <w:sz w:val="16"/>
          <w:szCs w:val="16"/>
        </w:rPr>
        <w:t xml:space="preserve">Wettelijke samenwoning, </w:t>
      </w:r>
      <w:hyperlink r:id="rId3" w:history="1">
        <w:r w:rsidRPr="0074414F">
          <w:rPr>
            <w:rStyle w:val="Hyperlink"/>
            <w:i/>
            <w:iCs/>
            <w:sz w:val="16"/>
            <w:szCs w:val="16"/>
          </w:rPr>
          <w:t>https://statbel.fgov.be/nl/themas/bevolking/partnerschap/wettelijke-samenwoning</w:t>
        </w:r>
      </w:hyperlink>
      <w:r>
        <w:rPr>
          <w:i/>
          <w:iCs/>
          <w:sz w:val="16"/>
          <w:szCs w:val="16"/>
        </w:rPr>
        <w:t xml:space="preserve"> </w:t>
      </w:r>
      <w:r>
        <w:rPr>
          <w:sz w:val="16"/>
          <w:szCs w:val="16"/>
        </w:rPr>
        <w:t>(consultatie op 15 november 2023).</w:t>
      </w:r>
    </w:p>
  </w:footnote>
  <w:footnote w:id="5">
    <w:p w14:paraId="3BDC6D65" w14:textId="77777777" w:rsidR="00BD18A3" w:rsidRPr="007A4DDE" w:rsidRDefault="00BD18A3" w:rsidP="00BD18A3">
      <w:pPr>
        <w:pStyle w:val="Voetnoottekst"/>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1110.</w:t>
      </w:r>
    </w:p>
  </w:footnote>
  <w:footnote w:id="6">
    <w:p w14:paraId="125D9FA6" w14:textId="77777777" w:rsidR="00BD18A3" w:rsidRPr="00C95739" w:rsidRDefault="00BD18A3" w:rsidP="00BD18A3">
      <w:pPr>
        <w:pStyle w:val="Voetnoottekst"/>
        <w:rPr>
          <w:sz w:val="16"/>
          <w:szCs w:val="16"/>
        </w:rPr>
      </w:pPr>
      <w:r>
        <w:rPr>
          <w:rStyle w:val="Voetnootmarkering"/>
        </w:rPr>
        <w:footnoteRef/>
      </w:r>
      <w:r>
        <w:t xml:space="preserve"> </w:t>
      </w:r>
      <w:r w:rsidRPr="00C95739">
        <w:rPr>
          <w:sz w:val="16"/>
          <w:szCs w:val="16"/>
        </w:rPr>
        <w:t xml:space="preserve">S. EGGERMONT, </w:t>
      </w:r>
      <w:r w:rsidRPr="00C95739">
        <w:rPr>
          <w:i/>
          <w:iCs/>
          <w:sz w:val="16"/>
          <w:szCs w:val="16"/>
        </w:rPr>
        <w:t>Tweerelaties</w:t>
      </w:r>
      <w:r>
        <w:rPr>
          <w:i/>
          <w:iCs/>
          <w:sz w:val="16"/>
          <w:szCs w:val="16"/>
        </w:rPr>
        <w:t>: h</w:t>
      </w:r>
      <w:r w:rsidRPr="00C95739">
        <w:rPr>
          <w:i/>
          <w:iCs/>
          <w:sz w:val="16"/>
          <w:szCs w:val="16"/>
        </w:rPr>
        <w:t>uwelijk, wettelijke samenwoning en feitelijke samenwoning juridisch ontleed</w:t>
      </w:r>
      <w:r w:rsidRPr="00C95739">
        <w:rPr>
          <w:sz w:val="16"/>
          <w:szCs w:val="16"/>
        </w:rPr>
        <w:t>, Antwerpen, Intersentia, 2016</w:t>
      </w:r>
      <w:r w:rsidRPr="001259C9">
        <w:rPr>
          <w:sz w:val="16"/>
          <w:szCs w:val="16"/>
        </w:rPr>
        <w:t>, 4;</w:t>
      </w:r>
      <w:r>
        <w:rPr>
          <w:sz w:val="16"/>
          <w:szCs w:val="16"/>
        </w:rPr>
        <w:t xml:space="preserve"> </w:t>
      </w:r>
      <w:r w:rsidRPr="00C95739">
        <w:rPr>
          <w:sz w:val="16"/>
          <w:szCs w:val="16"/>
        </w:rPr>
        <w:t>A.</w:t>
      </w:r>
      <w:r>
        <w:rPr>
          <w:sz w:val="16"/>
          <w:szCs w:val="16"/>
        </w:rPr>
        <w:t>-</w:t>
      </w:r>
      <w:r w:rsidRPr="00C95739">
        <w:rPr>
          <w:sz w:val="16"/>
          <w:szCs w:val="16"/>
        </w:rPr>
        <w:t xml:space="preserve">C. VAN GYSEL en J. SAUVAGE, </w:t>
      </w:r>
      <w:r w:rsidRPr="00C95739">
        <w:rPr>
          <w:i/>
          <w:iCs/>
          <w:sz w:val="16"/>
          <w:szCs w:val="16"/>
        </w:rPr>
        <w:t>Le couple</w:t>
      </w:r>
      <w:r w:rsidRPr="00C95739">
        <w:rPr>
          <w:sz w:val="16"/>
          <w:szCs w:val="16"/>
        </w:rPr>
        <w:t>, Limal, Anthemis, 20</w:t>
      </w:r>
      <w:r>
        <w:rPr>
          <w:sz w:val="16"/>
          <w:szCs w:val="16"/>
        </w:rPr>
        <w:t>22</w:t>
      </w:r>
      <w:r w:rsidRPr="00C95739">
        <w:rPr>
          <w:sz w:val="16"/>
          <w:szCs w:val="16"/>
        </w:rPr>
        <w:t>, 37</w:t>
      </w:r>
      <w:r>
        <w:rPr>
          <w:sz w:val="16"/>
          <w:szCs w:val="16"/>
        </w:rPr>
        <w:t>.</w:t>
      </w:r>
    </w:p>
  </w:footnote>
  <w:footnote w:id="7">
    <w:p w14:paraId="2CC2629F" w14:textId="77777777" w:rsidR="00BD18A3" w:rsidRPr="00451B0A" w:rsidRDefault="00BD18A3" w:rsidP="00BD18A3">
      <w:pPr>
        <w:pStyle w:val="Voetnoottekst"/>
      </w:pPr>
      <w:r>
        <w:rPr>
          <w:rStyle w:val="Voetnootmarkering"/>
        </w:rPr>
        <w:footnoteRef/>
      </w:r>
      <w:r w:rsidRPr="004F2D4F">
        <w:t xml:space="preserve"> </w:t>
      </w:r>
      <w:r w:rsidRPr="004F2D4F">
        <w:rPr>
          <w:sz w:val="16"/>
          <w:szCs w:val="16"/>
        </w:rPr>
        <w:t xml:space="preserve">P. DEBOOSERE, R. LESTHAEGHE, J. SURKYN, P.-M. BOULANGER en A.-M. </w:t>
      </w:r>
      <w:r w:rsidRPr="00ED412F">
        <w:rPr>
          <w:sz w:val="16"/>
          <w:szCs w:val="16"/>
        </w:rPr>
        <w:t xml:space="preserve">LAMBERT, </w:t>
      </w:r>
      <w:r w:rsidRPr="00ED412F">
        <w:rPr>
          <w:i/>
          <w:iCs/>
          <w:sz w:val="16"/>
          <w:szCs w:val="16"/>
        </w:rPr>
        <w:t>Huishoudens en gezinnen (Households and Families</w:t>
      </w:r>
      <w:r>
        <w:rPr>
          <w:i/>
          <w:iCs/>
          <w:sz w:val="16"/>
          <w:szCs w:val="16"/>
        </w:rPr>
        <w:t>)</w:t>
      </w:r>
      <w:r w:rsidRPr="00ED412F">
        <w:rPr>
          <w:i/>
          <w:iCs/>
          <w:sz w:val="16"/>
          <w:szCs w:val="16"/>
        </w:rPr>
        <w:t>,</w:t>
      </w:r>
      <w:r w:rsidRPr="00ED412F">
        <w:rPr>
          <w:sz w:val="16"/>
          <w:szCs w:val="16"/>
        </w:rPr>
        <w:t xml:space="preserve"> Brussel, Nationaal Instituut voor Statistiek, 1997, 198-203.</w:t>
      </w:r>
    </w:p>
  </w:footnote>
  <w:footnote w:id="8">
    <w:p w14:paraId="384E33E5" w14:textId="77777777" w:rsidR="00BD18A3" w:rsidRPr="00213704" w:rsidRDefault="00BD18A3" w:rsidP="00BD18A3">
      <w:pPr>
        <w:pStyle w:val="Voetnoottekst"/>
        <w:rPr>
          <w:i/>
          <w:iCs/>
          <w:sz w:val="16"/>
          <w:szCs w:val="16"/>
        </w:rPr>
      </w:pPr>
      <w:r>
        <w:rPr>
          <w:rStyle w:val="Voetnootmarkering"/>
        </w:rPr>
        <w:footnoteRef/>
      </w:r>
      <w:r>
        <w:t xml:space="preserve"> </w:t>
      </w:r>
      <w:r>
        <w:rPr>
          <w:sz w:val="16"/>
          <w:szCs w:val="16"/>
        </w:rPr>
        <w:t xml:space="preserve">STATBEL, </w:t>
      </w:r>
      <w:r>
        <w:rPr>
          <w:i/>
          <w:iCs/>
          <w:sz w:val="16"/>
          <w:szCs w:val="16"/>
        </w:rPr>
        <w:t xml:space="preserve">Wettelijke samenwoning, </w:t>
      </w:r>
      <w:hyperlink r:id="rId4" w:anchor="ruim-6-op-10-wettelijke-samenwoningen-stopgezet-om-te-huwen" w:history="1">
        <w:r w:rsidRPr="0074414F">
          <w:rPr>
            <w:rStyle w:val="Hyperlink"/>
            <w:i/>
            <w:iCs/>
            <w:sz w:val="16"/>
            <w:szCs w:val="16"/>
          </w:rPr>
          <w:t>https://www.vlaanderen.be/statistiek-vlaanderen/bevolking/stopzetting-van-wettelijke-samenwoningen#ruim-6-op-10-wettelijke-samenwoningen-stopgezet-om-te-huwen</w:t>
        </w:r>
      </w:hyperlink>
      <w:r>
        <w:rPr>
          <w:i/>
          <w:iCs/>
          <w:sz w:val="16"/>
          <w:szCs w:val="16"/>
        </w:rPr>
        <w:t xml:space="preserve"> </w:t>
      </w:r>
      <w:r>
        <w:rPr>
          <w:sz w:val="16"/>
          <w:szCs w:val="16"/>
        </w:rPr>
        <w:t>(consultatie op 29 november 2023).</w:t>
      </w:r>
    </w:p>
  </w:footnote>
  <w:footnote w:id="9">
    <w:p w14:paraId="2B29B2A2" w14:textId="77777777" w:rsidR="00BD18A3" w:rsidRPr="006A5901" w:rsidRDefault="00BD18A3" w:rsidP="00BD18A3">
      <w:pPr>
        <w:pStyle w:val="Voetnoottekst"/>
        <w:rPr>
          <w:sz w:val="16"/>
          <w:szCs w:val="16"/>
        </w:rPr>
      </w:pPr>
      <w:r>
        <w:rPr>
          <w:rStyle w:val="Voetnootmarkering"/>
        </w:rPr>
        <w:footnoteRef/>
      </w:r>
      <w: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 xml:space="preserve">Antwerpen, Intersentia, 2023, 274-279; G. VERSCHELDEN, </w:t>
      </w:r>
      <w:r>
        <w:rPr>
          <w:i/>
          <w:iCs/>
          <w:sz w:val="16"/>
          <w:szCs w:val="16"/>
        </w:rPr>
        <w:t xml:space="preserve">Handboek Belgisch Personen-, familie- en relatievermogensrecht, </w:t>
      </w:r>
      <w:r>
        <w:rPr>
          <w:sz w:val="16"/>
          <w:szCs w:val="16"/>
        </w:rPr>
        <w:t>Brugge, die Keure, 2023, VII.</w:t>
      </w:r>
    </w:p>
  </w:footnote>
  <w:footnote w:id="10">
    <w:p w14:paraId="79B6AD8A" w14:textId="77777777" w:rsidR="00BD18A3" w:rsidRPr="002C507C" w:rsidRDefault="00BD18A3" w:rsidP="00BD18A3">
      <w:pPr>
        <w:pStyle w:val="Voetnoottekst"/>
        <w:rPr>
          <w:sz w:val="16"/>
          <w:szCs w:val="16"/>
          <w:lang w:val="en-US"/>
        </w:rPr>
      </w:pPr>
      <w:r>
        <w:rPr>
          <w:rStyle w:val="Voetnootmarkering"/>
        </w:rPr>
        <w:footnoteRef/>
      </w:r>
      <w:r w:rsidRPr="002C507C">
        <w:rPr>
          <w:lang w:val="en-US"/>
        </w:rPr>
        <w:t xml:space="preserve"> </w:t>
      </w:r>
      <w:r w:rsidRPr="002C507C">
        <w:rPr>
          <w:sz w:val="16"/>
          <w:szCs w:val="16"/>
          <w:lang w:val="en-US"/>
        </w:rPr>
        <w:t>Art. 143-228 oud BW; art. 1475-1581 oud BW.</w:t>
      </w:r>
    </w:p>
  </w:footnote>
  <w:footnote w:id="11">
    <w:p w14:paraId="702C8C47" w14:textId="77777777" w:rsidR="00BD18A3" w:rsidRPr="00406CDC" w:rsidRDefault="00BD18A3" w:rsidP="00BD18A3">
      <w:pPr>
        <w:pStyle w:val="Voetnoottekst"/>
        <w:rPr>
          <w:lang w:val="nl-NL"/>
        </w:rPr>
      </w:pPr>
      <w:r>
        <w:rPr>
          <w:rStyle w:val="Voetnootmarkering"/>
        </w:rPr>
        <w:footnoteRef/>
      </w:r>
      <w:r w:rsidRPr="002F3B03">
        <w:rPr>
          <w:lang w:val="fr-BE"/>
        </w:rPr>
        <w:t xml:space="preserve"> </w:t>
      </w:r>
      <w:r w:rsidRPr="002F3B03">
        <w:rPr>
          <w:sz w:val="16"/>
          <w:szCs w:val="16"/>
          <w:lang w:val="fr-BE"/>
        </w:rPr>
        <w:t>I. BOONE, J. DU MONGH en A</w:t>
      </w:r>
      <w:r>
        <w:rPr>
          <w:sz w:val="16"/>
          <w:szCs w:val="16"/>
          <w:lang w:val="fr-BE"/>
        </w:rPr>
        <w:t>.</w:t>
      </w:r>
      <w:r w:rsidRPr="002F3B03">
        <w:rPr>
          <w:sz w:val="16"/>
          <w:szCs w:val="16"/>
          <w:lang w:val="fr-BE"/>
        </w:rPr>
        <w:t xml:space="preserve">-L. </w:t>
      </w:r>
      <w:r>
        <w:rPr>
          <w:sz w:val="16"/>
          <w:szCs w:val="16"/>
        </w:rPr>
        <w:t>VERBEKE,</w:t>
      </w:r>
      <w:r>
        <w:rPr>
          <w:i/>
          <w:iCs/>
          <w:sz w:val="16"/>
          <w:szCs w:val="16"/>
        </w:rPr>
        <w:t xml:space="preserve"> Personen-, familie- en relatievermogensrecht, </w:t>
      </w:r>
      <w:r>
        <w:rPr>
          <w:sz w:val="16"/>
          <w:szCs w:val="16"/>
        </w:rPr>
        <w:t xml:space="preserve">Leuven, Acco, 2020, 18;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 xml:space="preserve">Antwerpen, Intersentia, 2023, 405-409; G. VERSCHELDEN, </w:t>
      </w:r>
      <w:r>
        <w:rPr>
          <w:i/>
          <w:iCs/>
          <w:sz w:val="16"/>
          <w:szCs w:val="16"/>
        </w:rPr>
        <w:t xml:space="preserve">Handboek Belgisch Personen-, familie- en relatievermogensrecht, </w:t>
      </w:r>
      <w:r>
        <w:rPr>
          <w:sz w:val="16"/>
          <w:szCs w:val="16"/>
        </w:rPr>
        <w:t>Brugge, die Keure, 2023, 1152.</w:t>
      </w:r>
    </w:p>
  </w:footnote>
  <w:footnote w:id="12">
    <w:p w14:paraId="780E7773" w14:textId="77777777" w:rsidR="00BD18A3" w:rsidRPr="00C16C66"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 xml:space="preserve">Leuven, Acco, 2022, 479; G. VERSCHELDEN, </w:t>
      </w:r>
      <w:r>
        <w:rPr>
          <w:i/>
          <w:iCs/>
          <w:sz w:val="16"/>
          <w:szCs w:val="16"/>
        </w:rPr>
        <w:t xml:space="preserve">Handboek Belgisch Personen-, familie- en relatievermogensrecht, </w:t>
      </w:r>
      <w:r>
        <w:rPr>
          <w:sz w:val="16"/>
          <w:szCs w:val="16"/>
        </w:rPr>
        <w:t>Brugge, die Keure, 2023, 609.</w:t>
      </w:r>
    </w:p>
  </w:footnote>
  <w:footnote w:id="13">
    <w:p w14:paraId="5E097A20" w14:textId="77777777" w:rsidR="00BD18A3" w:rsidRPr="00944C4C" w:rsidRDefault="00BD18A3" w:rsidP="00BD18A3">
      <w:pPr>
        <w:pStyle w:val="Voetnoottekst"/>
        <w:rPr>
          <w:sz w:val="16"/>
          <w:szCs w:val="16"/>
        </w:rPr>
      </w:pPr>
      <w:r>
        <w:rPr>
          <w:rStyle w:val="Voetnootmarkering"/>
        </w:rPr>
        <w:footnoteRef/>
      </w:r>
      <w:r w:rsidRPr="007134F1">
        <w:rPr>
          <w:sz w:val="16"/>
          <w:szCs w:val="16"/>
        </w:rPr>
        <w:t xml:space="preserve"> Art. 213 oud BW</w:t>
      </w:r>
      <w:r>
        <w:rPr>
          <w:sz w:val="16"/>
          <w:szCs w:val="16"/>
        </w:rPr>
        <w:t>;</w:t>
      </w:r>
      <w:r w:rsidRPr="007134F1">
        <w:rPr>
          <w:sz w:val="16"/>
          <w:szCs w:val="16"/>
        </w:rPr>
        <w:t xml:space="preserve"> I. BOONE, J. DU MONGH en A</w:t>
      </w:r>
      <w:r>
        <w:rPr>
          <w:sz w:val="16"/>
          <w:szCs w:val="16"/>
        </w:rPr>
        <w:t>.</w:t>
      </w:r>
      <w:r w:rsidRPr="007134F1">
        <w:rPr>
          <w:sz w:val="16"/>
          <w:szCs w:val="16"/>
        </w:rPr>
        <w:t xml:space="preserve">-L. </w:t>
      </w:r>
      <w:r>
        <w:rPr>
          <w:sz w:val="16"/>
          <w:szCs w:val="16"/>
        </w:rPr>
        <w:t>VERBEKE,</w:t>
      </w:r>
      <w:r>
        <w:rPr>
          <w:i/>
          <w:iCs/>
          <w:sz w:val="16"/>
          <w:szCs w:val="16"/>
        </w:rPr>
        <w:t xml:space="preserve"> Personen-, familie- en relatievermogensrecht, </w:t>
      </w:r>
      <w:r>
        <w:rPr>
          <w:sz w:val="16"/>
          <w:szCs w:val="16"/>
        </w:rPr>
        <w:t xml:space="preserve">Leuven, Acco, 2020, 172;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w:t>
      </w:r>
    </w:p>
  </w:footnote>
  <w:footnote w:id="14">
    <w:p w14:paraId="2C9F0780" w14:textId="77777777" w:rsidR="00BD18A3" w:rsidRPr="0019381C" w:rsidRDefault="00BD18A3" w:rsidP="00BD18A3">
      <w:pPr>
        <w:pStyle w:val="Voetnoottekst"/>
        <w:rPr>
          <w:sz w:val="16"/>
          <w:szCs w:val="16"/>
        </w:rPr>
      </w:pPr>
      <w:r>
        <w:rPr>
          <w:rStyle w:val="Voetnootmarkering"/>
        </w:rPr>
        <w:footnoteRef/>
      </w:r>
      <w:r w:rsidRPr="0019381C">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290.</w:t>
      </w:r>
    </w:p>
  </w:footnote>
  <w:footnote w:id="15">
    <w:p w14:paraId="6BEF8639" w14:textId="77777777" w:rsidR="00BD18A3" w:rsidRPr="001918B6" w:rsidRDefault="00BD18A3" w:rsidP="00BD18A3">
      <w:pPr>
        <w:pStyle w:val="Voetnoottekst"/>
        <w:rPr>
          <w:lang w:val="nl-NL"/>
        </w:rPr>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534.</w:t>
      </w:r>
    </w:p>
  </w:footnote>
  <w:footnote w:id="16">
    <w:p w14:paraId="5EFD38E8" w14:textId="77777777" w:rsidR="00BD18A3" w:rsidRPr="000D79C4" w:rsidRDefault="00BD18A3" w:rsidP="00BD18A3">
      <w:pPr>
        <w:pStyle w:val="Voetnoottekst"/>
        <w:rPr>
          <w:sz w:val="16"/>
          <w:szCs w:val="16"/>
        </w:rPr>
      </w:pPr>
      <w:r>
        <w:rPr>
          <w:rStyle w:val="Voetnootmarkering"/>
        </w:rPr>
        <w:footnoteRef/>
      </w:r>
      <w:r w:rsidRPr="000D79C4">
        <w:t xml:space="preserve"> </w:t>
      </w:r>
      <w:r w:rsidRPr="000D79C4">
        <w:rPr>
          <w:sz w:val="16"/>
          <w:szCs w:val="16"/>
        </w:rPr>
        <w:t>Art. 212-224 oud BW.</w:t>
      </w:r>
    </w:p>
  </w:footnote>
  <w:footnote w:id="17">
    <w:p w14:paraId="337D1464" w14:textId="77777777" w:rsidR="00BD18A3" w:rsidRPr="00971D7B" w:rsidRDefault="00BD18A3" w:rsidP="00BD18A3">
      <w:pPr>
        <w:pStyle w:val="Voetnoottekst"/>
        <w:rPr>
          <w:lang w:val="nl-NL"/>
        </w:rPr>
      </w:pPr>
      <w:r w:rsidRPr="00971D7B">
        <w:rPr>
          <w:rStyle w:val="Voetnootmarkering"/>
          <w:lang w:val="nl-NL"/>
        </w:rPr>
        <w:footnoteRef/>
      </w:r>
      <w:r w:rsidRPr="00CE472A">
        <w:t xml:space="preserve"> </w:t>
      </w:r>
      <w:r w:rsidRPr="00CE472A">
        <w:rPr>
          <w:sz w:val="16"/>
          <w:szCs w:val="16"/>
        </w:rPr>
        <w:t xml:space="preserve">Art. 2.3.12 BW; I. BOONE, J. DU MONGH en A.-L. </w:t>
      </w:r>
      <w:r>
        <w:rPr>
          <w:sz w:val="16"/>
          <w:szCs w:val="16"/>
        </w:rPr>
        <w:t>VERBEKE,</w:t>
      </w:r>
      <w:r>
        <w:rPr>
          <w:i/>
          <w:iCs/>
          <w:sz w:val="16"/>
          <w:szCs w:val="16"/>
        </w:rPr>
        <w:t xml:space="preserve"> Personen-, familie- en relatievermogensrecht, </w:t>
      </w:r>
      <w:r>
        <w:rPr>
          <w:sz w:val="16"/>
          <w:szCs w:val="16"/>
        </w:rPr>
        <w:t xml:space="preserve">Leuven, Acco, 2020, 651; </w:t>
      </w:r>
      <w:r w:rsidRPr="00971D7B">
        <w:rPr>
          <w:sz w:val="16"/>
          <w:szCs w:val="16"/>
          <w:lang w:val="nl-NL"/>
        </w:rPr>
        <w:t xml:space="preserve">F. SWENNEN, </w:t>
      </w:r>
      <w:r w:rsidRPr="00971D7B">
        <w:rPr>
          <w:i/>
          <w:iCs/>
          <w:sz w:val="16"/>
          <w:szCs w:val="16"/>
          <w:lang w:val="nl-NL"/>
        </w:rPr>
        <w:t>Het personen-</w:t>
      </w:r>
      <w:r>
        <w:rPr>
          <w:i/>
          <w:iCs/>
          <w:sz w:val="16"/>
          <w:szCs w:val="16"/>
          <w:lang w:val="nl-NL"/>
        </w:rPr>
        <w:t xml:space="preserve"> </w:t>
      </w:r>
      <w:r w:rsidRPr="00971D7B">
        <w:rPr>
          <w:i/>
          <w:iCs/>
          <w:sz w:val="16"/>
          <w:szCs w:val="16"/>
          <w:lang w:val="nl-NL"/>
        </w:rPr>
        <w:t xml:space="preserve">en </w:t>
      </w:r>
      <w:r>
        <w:rPr>
          <w:i/>
          <w:iCs/>
          <w:sz w:val="16"/>
          <w:szCs w:val="16"/>
          <w:lang w:val="nl-NL"/>
        </w:rPr>
        <w:t>f</w:t>
      </w:r>
      <w:r w:rsidRPr="00971D7B">
        <w:rPr>
          <w:i/>
          <w:iCs/>
          <w:sz w:val="16"/>
          <w:szCs w:val="16"/>
          <w:lang w:val="nl-NL"/>
        </w:rPr>
        <w:t xml:space="preserve">amilierecht, </w:t>
      </w:r>
      <w:r w:rsidRPr="00971D7B">
        <w:rPr>
          <w:sz w:val="16"/>
          <w:szCs w:val="16"/>
          <w:lang w:val="nl-NL"/>
        </w:rPr>
        <w:t>Antwerpen, Intersentia, 202</w:t>
      </w:r>
      <w:r>
        <w:rPr>
          <w:sz w:val="16"/>
          <w:szCs w:val="16"/>
          <w:lang w:val="nl-NL"/>
        </w:rPr>
        <w:t>3</w:t>
      </w:r>
      <w:r w:rsidRPr="00971D7B">
        <w:rPr>
          <w:sz w:val="16"/>
          <w:szCs w:val="16"/>
          <w:lang w:val="nl-NL"/>
        </w:rPr>
        <w:t xml:space="preserve">, </w:t>
      </w:r>
      <w:r>
        <w:rPr>
          <w:sz w:val="16"/>
          <w:szCs w:val="16"/>
          <w:lang w:val="nl-NL"/>
        </w:rPr>
        <w:t xml:space="preserve">323; </w:t>
      </w:r>
      <w:r>
        <w:rPr>
          <w:sz w:val="16"/>
          <w:szCs w:val="16"/>
        </w:rPr>
        <w:t xml:space="preserve">G. VERSCHELDEN, </w:t>
      </w:r>
      <w:r>
        <w:rPr>
          <w:i/>
          <w:iCs/>
          <w:sz w:val="16"/>
          <w:szCs w:val="16"/>
        </w:rPr>
        <w:t xml:space="preserve">Handboek Belgisch Personen-, familie- en relatievermogensrecht, </w:t>
      </w:r>
      <w:r>
        <w:rPr>
          <w:sz w:val="16"/>
          <w:szCs w:val="16"/>
        </w:rPr>
        <w:t>Brugge, die Keure, 2023, 760.</w:t>
      </w:r>
    </w:p>
  </w:footnote>
  <w:footnote w:id="18">
    <w:p w14:paraId="608420AF" w14:textId="77777777" w:rsidR="00BD18A3" w:rsidRPr="00F9534A" w:rsidRDefault="00BD18A3" w:rsidP="00BD18A3">
      <w:pPr>
        <w:pStyle w:val="Voetnoottekst"/>
        <w:rPr>
          <w:lang w:val="nl-NL"/>
        </w:rPr>
      </w:pPr>
      <w:r>
        <w:rPr>
          <w:rStyle w:val="Voetnootmarkering"/>
        </w:rPr>
        <w:footnoteRef/>
      </w:r>
      <w:r>
        <w:t xml:space="preserve"> </w:t>
      </w:r>
      <w:r w:rsidRPr="00D85067">
        <w:rPr>
          <w:sz w:val="16"/>
          <w:szCs w:val="21"/>
        </w:rPr>
        <w:t xml:space="preserve">J. MONBALLYU, </w:t>
      </w:r>
      <w:r w:rsidRPr="00D85067">
        <w:rPr>
          <w:i/>
          <w:iCs/>
          <w:sz w:val="16"/>
          <w:szCs w:val="21"/>
        </w:rPr>
        <w:t xml:space="preserve">Geschiedenis van het familierecht. </w:t>
      </w:r>
      <w:r w:rsidRPr="00865EFD">
        <w:rPr>
          <w:i/>
          <w:iCs/>
          <w:sz w:val="16"/>
          <w:szCs w:val="21"/>
        </w:rPr>
        <w:t>Van de late middeleeuwen tot heden</w:t>
      </w:r>
      <w:r w:rsidRPr="00865EFD">
        <w:rPr>
          <w:sz w:val="16"/>
          <w:szCs w:val="21"/>
        </w:rPr>
        <w:t>, Leuven, Acco, 20</w:t>
      </w:r>
      <w:r>
        <w:rPr>
          <w:sz w:val="16"/>
          <w:szCs w:val="21"/>
        </w:rPr>
        <w:t>10</w:t>
      </w:r>
      <w:r w:rsidRPr="00865EFD">
        <w:rPr>
          <w:sz w:val="16"/>
          <w:szCs w:val="21"/>
        </w:rPr>
        <w:t>,</w:t>
      </w:r>
      <w:r>
        <w:rPr>
          <w:sz w:val="16"/>
          <w:szCs w:val="21"/>
        </w:rPr>
        <w:t xml:space="preserve"> 29-34.</w:t>
      </w:r>
    </w:p>
  </w:footnote>
  <w:footnote w:id="19">
    <w:p w14:paraId="47E6CA0B" w14:textId="77777777" w:rsidR="00BD18A3" w:rsidRPr="00481ADC" w:rsidRDefault="00BD18A3" w:rsidP="00BD18A3">
      <w:pPr>
        <w:pStyle w:val="Voetnoottekst"/>
      </w:pPr>
      <w:r>
        <w:rPr>
          <w:rStyle w:val="Voetnootmarkering"/>
        </w:rPr>
        <w:footnoteRef/>
      </w:r>
      <w:r>
        <w:t xml:space="preserve"> </w:t>
      </w:r>
      <w:r w:rsidRPr="00D85067">
        <w:rPr>
          <w:sz w:val="16"/>
          <w:szCs w:val="21"/>
        </w:rPr>
        <w:t xml:space="preserve">J. MONBALLYU, </w:t>
      </w:r>
      <w:r w:rsidRPr="00D85067">
        <w:rPr>
          <w:i/>
          <w:iCs/>
          <w:sz w:val="16"/>
          <w:szCs w:val="21"/>
        </w:rPr>
        <w:t xml:space="preserve">Geschiedenis van het familierecht. </w:t>
      </w:r>
      <w:r w:rsidRPr="00865EFD">
        <w:rPr>
          <w:i/>
          <w:iCs/>
          <w:sz w:val="16"/>
          <w:szCs w:val="21"/>
        </w:rPr>
        <w:t>Van de late middeleeuwen tot heden</w:t>
      </w:r>
      <w:r w:rsidRPr="00865EFD">
        <w:rPr>
          <w:sz w:val="16"/>
          <w:szCs w:val="21"/>
        </w:rPr>
        <w:t>, Leuven, Acco, 20</w:t>
      </w:r>
      <w:r>
        <w:rPr>
          <w:sz w:val="16"/>
          <w:szCs w:val="21"/>
        </w:rPr>
        <w:t>10</w:t>
      </w:r>
      <w:r w:rsidRPr="00865EFD">
        <w:rPr>
          <w:sz w:val="16"/>
          <w:szCs w:val="21"/>
        </w:rPr>
        <w:t>,</w:t>
      </w:r>
      <w:r>
        <w:rPr>
          <w:sz w:val="16"/>
          <w:szCs w:val="21"/>
        </w:rPr>
        <w:t xml:space="preserve"> 34;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538.</w:t>
      </w:r>
    </w:p>
  </w:footnote>
  <w:footnote w:id="20">
    <w:p w14:paraId="7BE1D41F" w14:textId="77777777" w:rsidR="00BD18A3" w:rsidRPr="00DE2E5D" w:rsidRDefault="00BD18A3" w:rsidP="00BD18A3">
      <w:pPr>
        <w:pStyle w:val="Voetnoottekst"/>
        <w:rPr>
          <w:sz w:val="16"/>
          <w:szCs w:val="16"/>
        </w:rPr>
      </w:pPr>
      <w:r>
        <w:rPr>
          <w:rStyle w:val="Voetnootmarkering"/>
        </w:rPr>
        <w:footnoteRef/>
      </w:r>
      <w:r>
        <w:t xml:space="preserve"> </w:t>
      </w:r>
      <w:r>
        <w:rPr>
          <w:sz w:val="16"/>
          <w:szCs w:val="16"/>
        </w:rPr>
        <w:t xml:space="preserve">Wet 13 februari 2003 tot openstelling van het huwelijk voor personen van hetzelfde geslacht en tot wijziging van een aantal bepalingen van het Burgerlijk Wetboek, </w:t>
      </w:r>
      <w:r>
        <w:rPr>
          <w:i/>
          <w:iCs/>
          <w:sz w:val="16"/>
          <w:szCs w:val="16"/>
        </w:rPr>
        <w:t>BS</w:t>
      </w:r>
      <w:r>
        <w:rPr>
          <w:sz w:val="16"/>
          <w:szCs w:val="16"/>
        </w:rPr>
        <w:t xml:space="preserve"> 28 februari 2003.</w:t>
      </w:r>
    </w:p>
  </w:footnote>
  <w:footnote w:id="21">
    <w:p w14:paraId="21939815" w14:textId="77777777" w:rsidR="00BD18A3" w:rsidRPr="009F60C5" w:rsidRDefault="00BD18A3" w:rsidP="00BD18A3">
      <w:pPr>
        <w:pStyle w:val="Voetnoottekst"/>
        <w:rPr>
          <w:lang w:val="nl-NL"/>
        </w:rPr>
      </w:pPr>
      <w:r>
        <w:rPr>
          <w:rStyle w:val="Voetnootmarkering"/>
        </w:rPr>
        <w:footnoteRef/>
      </w:r>
      <w:r>
        <w:t xml:space="preserve"> </w:t>
      </w:r>
      <w:r w:rsidRPr="00D85067">
        <w:rPr>
          <w:sz w:val="16"/>
          <w:szCs w:val="21"/>
        </w:rPr>
        <w:t xml:space="preserve">J. MONBALLYU, </w:t>
      </w:r>
      <w:r w:rsidRPr="00D85067">
        <w:rPr>
          <w:i/>
          <w:iCs/>
          <w:sz w:val="16"/>
          <w:szCs w:val="21"/>
        </w:rPr>
        <w:t xml:space="preserve">Geschiedenis van het familierecht. </w:t>
      </w:r>
      <w:r w:rsidRPr="00865EFD">
        <w:rPr>
          <w:i/>
          <w:iCs/>
          <w:sz w:val="16"/>
          <w:szCs w:val="21"/>
        </w:rPr>
        <w:t>Van de late middeleeuwen tot heden</w:t>
      </w:r>
      <w:r w:rsidRPr="00865EFD">
        <w:rPr>
          <w:sz w:val="16"/>
          <w:szCs w:val="21"/>
        </w:rPr>
        <w:t>, Leuven, Acco, 20</w:t>
      </w:r>
      <w:r>
        <w:rPr>
          <w:sz w:val="16"/>
          <w:szCs w:val="21"/>
        </w:rPr>
        <w:t>10</w:t>
      </w:r>
      <w:r w:rsidRPr="00865EFD">
        <w:rPr>
          <w:sz w:val="16"/>
          <w:szCs w:val="21"/>
        </w:rPr>
        <w:t>,</w:t>
      </w:r>
      <w:r>
        <w:rPr>
          <w:sz w:val="16"/>
          <w:szCs w:val="21"/>
        </w:rPr>
        <w:t xml:space="preserve"> 35.</w:t>
      </w:r>
    </w:p>
  </w:footnote>
  <w:footnote w:id="22">
    <w:p w14:paraId="363E29FB" w14:textId="77777777" w:rsidR="00BD18A3" w:rsidRPr="001F4C4C" w:rsidRDefault="00BD18A3" w:rsidP="00BD18A3">
      <w:pPr>
        <w:pStyle w:val="Voetnoottekst"/>
        <w:rPr>
          <w:sz w:val="16"/>
          <w:szCs w:val="16"/>
          <w:lang w:val="en-US"/>
        </w:rPr>
      </w:pPr>
      <w:r>
        <w:rPr>
          <w:rStyle w:val="Voetnootmarkering"/>
        </w:rPr>
        <w:footnoteRef/>
      </w:r>
      <w:r w:rsidRPr="001F4C4C">
        <w:rPr>
          <w:lang w:val="en-US"/>
        </w:rPr>
        <w:t xml:space="preserve"> </w:t>
      </w:r>
      <w:r w:rsidRPr="001F4C4C">
        <w:rPr>
          <w:sz w:val="16"/>
          <w:szCs w:val="16"/>
          <w:lang w:val="en-US"/>
        </w:rPr>
        <w:t>Art. 121, §</w:t>
      </w:r>
      <w:r>
        <w:rPr>
          <w:sz w:val="16"/>
          <w:szCs w:val="16"/>
          <w:lang w:val="en-US"/>
        </w:rPr>
        <w:t xml:space="preserve"> </w:t>
      </w:r>
      <w:r w:rsidRPr="001F4C4C">
        <w:rPr>
          <w:sz w:val="16"/>
          <w:szCs w:val="16"/>
          <w:lang w:val="en-US"/>
        </w:rPr>
        <w:t>2 oud BW.</w:t>
      </w:r>
    </w:p>
  </w:footnote>
  <w:footnote w:id="23">
    <w:p w14:paraId="09DD5F8C" w14:textId="77777777" w:rsidR="00BD18A3" w:rsidRPr="001F4C4C" w:rsidRDefault="00BD18A3" w:rsidP="00BD18A3">
      <w:pPr>
        <w:pStyle w:val="Voetnoottekst"/>
        <w:rPr>
          <w:sz w:val="16"/>
          <w:szCs w:val="16"/>
          <w:lang w:val="en-US"/>
        </w:rPr>
      </w:pPr>
      <w:r>
        <w:rPr>
          <w:rStyle w:val="Voetnootmarkering"/>
        </w:rPr>
        <w:footnoteRef/>
      </w:r>
      <w:r w:rsidRPr="001F4C4C">
        <w:rPr>
          <w:lang w:val="en-US"/>
        </w:rPr>
        <w:t xml:space="preserve"> </w:t>
      </w:r>
      <w:r w:rsidRPr="001F4C4C">
        <w:rPr>
          <w:sz w:val="16"/>
          <w:szCs w:val="16"/>
          <w:lang w:val="en-US"/>
        </w:rPr>
        <w:t>Art. 227 oud BW.</w:t>
      </w:r>
    </w:p>
  </w:footnote>
  <w:footnote w:id="24">
    <w:p w14:paraId="0CA73DC7" w14:textId="77777777" w:rsidR="00BD18A3" w:rsidRPr="00043AD4" w:rsidRDefault="00BD18A3" w:rsidP="00BD18A3">
      <w:pPr>
        <w:pStyle w:val="Voetnoottekst"/>
        <w:rPr>
          <w:sz w:val="16"/>
          <w:szCs w:val="16"/>
        </w:rPr>
      </w:pPr>
      <w:r>
        <w:rPr>
          <w:rStyle w:val="Voetnootmarkering"/>
        </w:rPr>
        <w:footnoteRef/>
      </w:r>
      <w:r>
        <w:t xml:space="preserve"> </w:t>
      </w:r>
      <w:r>
        <w:rPr>
          <w:sz w:val="16"/>
          <w:szCs w:val="16"/>
        </w:rPr>
        <w:t>Art. 1475 oud BW.</w:t>
      </w:r>
    </w:p>
  </w:footnote>
  <w:footnote w:id="25">
    <w:p w14:paraId="06F9AC73" w14:textId="77777777" w:rsidR="00BD18A3" w:rsidRPr="000336CC" w:rsidRDefault="00BD18A3" w:rsidP="00BD18A3">
      <w:pPr>
        <w:spacing w:line="240" w:lineRule="auto"/>
        <w:rPr>
          <w:lang w:val="nl-NL"/>
        </w:rPr>
      </w:pPr>
      <w:r>
        <w:rPr>
          <w:rStyle w:val="Voetnootmarkering"/>
        </w:rPr>
        <w:footnoteRef/>
      </w:r>
      <w:r>
        <w:t xml:space="preserve"> </w:t>
      </w:r>
      <w:r w:rsidRPr="006971E4">
        <w:rPr>
          <w:sz w:val="16"/>
          <w:szCs w:val="21"/>
        </w:rPr>
        <w:t>H. CASMAN, “Erfrecht voor de langstlevende wettelijk samenwonende partner”, in M. DE BUSSCHER, B. DE GROOTE, J. D</w:t>
      </w:r>
      <w:r>
        <w:rPr>
          <w:sz w:val="16"/>
          <w:szCs w:val="21"/>
        </w:rPr>
        <w:t>E</w:t>
      </w:r>
      <w:r w:rsidRPr="006971E4">
        <w:rPr>
          <w:sz w:val="16"/>
          <w:szCs w:val="21"/>
        </w:rPr>
        <w:t xml:space="preserve"> PUYDT, A. DOOLAEGE, E. FORRIER, P. TAELMAN en W. VAN EECKHOUTTE</w:t>
      </w:r>
      <w:r>
        <w:rPr>
          <w:sz w:val="16"/>
          <w:szCs w:val="21"/>
        </w:rPr>
        <w:t xml:space="preserve"> (eds.)</w:t>
      </w:r>
      <w:r w:rsidRPr="006971E4">
        <w:rPr>
          <w:sz w:val="16"/>
          <w:szCs w:val="21"/>
        </w:rPr>
        <w:t xml:space="preserve">, </w:t>
      </w:r>
      <w:r w:rsidRPr="006971E4">
        <w:rPr>
          <w:i/>
          <w:iCs/>
          <w:sz w:val="16"/>
          <w:szCs w:val="21"/>
        </w:rPr>
        <w:t>Kan dit nog? Liber amicorum Rogier De Corte</w:t>
      </w:r>
      <w:r w:rsidRPr="006971E4">
        <w:rPr>
          <w:sz w:val="16"/>
          <w:szCs w:val="21"/>
        </w:rPr>
        <w:t>, Mechelen, 2007, (</w:t>
      </w:r>
      <w:r>
        <w:rPr>
          <w:sz w:val="16"/>
          <w:szCs w:val="21"/>
        </w:rPr>
        <w:t>59</w:t>
      </w:r>
      <w:r w:rsidRPr="006971E4">
        <w:rPr>
          <w:sz w:val="16"/>
          <w:szCs w:val="21"/>
        </w:rPr>
        <w:t>) 62</w:t>
      </w:r>
      <w:r>
        <w:rPr>
          <w:sz w:val="16"/>
          <w:szCs w:val="21"/>
        </w:rPr>
        <w:t>;</w:t>
      </w:r>
      <w:r w:rsidRPr="00E54726">
        <w:rPr>
          <w:sz w:val="16"/>
          <w:szCs w:val="21"/>
          <w:lang w:val="nl-NL"/>
        </w:rPr>
        <w:t xml:space="preserve"> </w:t>
      </w:r>
      <w:r w:rsidRPr="000336CC">
        <w:rPr>
          <w:sz w:val="16"/>
          <w:szCs w:val="21"/>
          <w:lang w:val="nl-NL"/>
        </w:rPr>
        <w:t>E. GOOSSENS,</w:t>
      </w:r>
      <w:r>
        <w:rPr>
          <w:sz w:val="16"/>
          <w:szCs w:val="21"/>
          <w:lang w:val="nl-NL"/>
        </w:rPr>
        <w:t xml:space="preserve"> “</w:t>
      </w:r>
      <w:r w:rsidRPr="000336CC">
        <w:rPr>
          <w:sz w:val="16"/>
          <w:szCs w:val="21"/>
          <w:lang w:val="nl-NL"/>
        </w:rPr>
        <w:t>Kompas voor een nieuw samenwoningsrecht: neutraal, coherent en compensatie- en behoeftegericht</w:t>
      </w:r>
      <w:r>
        <w:rPr>
          <w:sz w:val="16"/>
          <w:szCs w:val="21"/>
          <w:lang w:val="nl-NL"/>
        </w:rPr>
        <w:t>”</w:t>
      </w:r>
      <w:r w:rsidRPr="000336CC">
        <w:rPr>
          <w:sz w:val="16"/>
          <w:szCs w:val="21"/>
          <w:lang w:val="nl-NL"/>
        </w:rPr>
        <w:t xml:space="preserve">, </w:t>
      </w:r>
      <w:r w:rsidRPr="000336CC">
        <w:rPr>
          <w:i/>
          <w:iCs/>
          <w:sz w:val="16"/>
          <w:szCs w:val="21"/>
          <w:lang w:val="nl-NL"/>
        </w:rPr>
        <w:t>TBBR</w:t>
      </w:r>
      <w:r w:rsidRPr="000336CC">
        <w:rPr>
          <w:sz w:val="16"/>
          <w:szCs w:val="21"/>
          <w:lang w:val="nl-NL"/>
        </w:rPr>
        <w:t xml:space="preserve"> 2019, </w:t>
      </w:r>
      <w:r>
        <w:rPr>
          <w:sz w:val="16"/>
          <w:szCs w:val="21"/>
          <w:lang w:val="nl-NL"/>
        </w:rPr>
        <w:t xml:space="preserve">(537) </w:t>
      </w:r>
      <w:r w:rsidRPr="000336CC">
        <w:rPr>
          <w:sz w:val="16"/>
          <w:szCs w:val="21"/>
          <w:lang w:val="nl-NL"/>
        </w:rPr>
        <w:t>538</w:t>
      </w:r>
      <w:r>
        <w:rPr>
          <w:sz w:val="16"/>
          <w:szCs w:val="21"/>
          <w:lang w:val="nl-NL"/>
        </w:rPr>
        <w:t>;</w:t>
      </w:r>
      <w:r>
        <w:rPr>
          <w:sz w:val="16"/>
          <w:szCs w:val="21"/>
        </w:rPr>
        <w:t xml:space="preserve"> </w:t>
      </w:r>
      <w:r w:rsidRPr="00A73C39">
        <w:rPr>
          <w:sz w:val="16"/>
          <w:szCs w:val="16"/>
        </w:rPr>
        <w:t xml:space="preserve">A. HEYVAERT, “De evolutie naar de seks(e)neutraliteit van het gezinsrecht”, </w:t>
      </w:r>
      <w:r w:rsidRPr="000336CC">
        <w:rPr>
          <w:i/>
          <w:iCs/>
          <w:sz w:val="16"/>
          <w:szCs w:val="16"/>
        </w:rPr>
        <w:t xml:space="preserve">NJW </w:t>
      </w:r>
      <w:r w:rsidRPr="00A73C39">
        <w:rPr>
          <w:sz w:val="16"/>
          <w:szCs w:val="16"/>
        </w:rPr>
        <w:t>2005,</w:t>
      </w:r>
      <w:r>
        <w:rPr>
          <w:sz w:val="16"/>
          <w:szCs w:val="16"/>
        </w:rPr>
        <w:t xml:space="preserve"> (</w:t>
      </w:r>
      <w:r w:rsidRPr="00A73C39">
        <w:rPr>
          <w:sz w:val="16"/>
          <w:szCs w:val="16"/>
        </w:rPr>
        <w:t>1190</w:t>
      </w:r>
      <w:r>
        <w:rPr>
          <w:sz w:val="16"/>
          <w:szCs w:val="16"/>
        </w:rPr>
        <w:t>) 1192</w:t>
      </w:r>
      <w:r>
        <w:rPr>
          <w:sz w:val="16"/>
          <w:szCs w:val="21"/>
          <w:lang w:val="nl-NL"/>
        </w:rP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490.</w:t>
      </w:r>
    </w:p>
  </w:footnote>
  <w:footnote w:id="26">
    <w:p w14:paraId="33597140" w14:textId="77777777" w:rsidR="00BD18A3" w:rsidRPr="008B566B" w:rsidRDefault="00BD18A3" w:rsidP="00BD18A3">
      <w:pPr>
        <w:pStyle w:val="Voetnoottekst"/>
        <w:rPr>
          <w:sz w:val="16"/>
          <w:szCs w:val="16"/>
        </w:rPr>
      </w:pPr>
      <w:r w:rsidRPr="008B566B">
        <w:rPr>
          <w:rStyle w:val="Voetnootmarkering"/>
        </w:rPr>
        <w:footnoteRef/>
      </w:r>
      <w:r w:rsidRPr="008B566B">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1109.</w:t>
      </w:r>
    </w:p>
  </w:footnote>
  <w:footnote w:id="27">
    <w:p w14:paraId="095A63F1" w14:textId="77777777" w:rsidR="00BD18A3" w:rsidRPr="006A63BD" w:rsidRDefault="00BD18A3" w:rsidP="00BD18A3">
      <w:pPr>
        <w:pStyle w:val="Voetnoottekst"/>
      </w:pPr>
      <w:r>
        <w:rPr>
          <w:rStyle w:val="Voetnootmarkering"/>
        </w:rPr>
        <w:footnoteRef/>
      </w:r>
      <w:r>
        <w:t xml:space="preserve"> </w:t>
      </w:r>
      <w:r w:rsidRPr="006A63BD">
        <w:rPr>
          <w:sz w:val="16"/>
          <w:szCs w:val="16"/>
        </w:rPr>
        <w:t xml:space="preserve">Artikel 1476 </w:t>
      </w:r>
      <w:r>
        <w:rPr>
          <w:sz w:val="16"/>
          <w:szCs w:val="16"/>
        </w:rPr>
        <w:t xml:space="preserve">oud </w:t>
      </w:r>
      <w:r w:rsidRPr="006A63BD">
        <w:rPr>
          <w:sz w:val="16"/>
          <w:szCs w:val="16"/>
        </w:rPr>
        <w:t>BW</w:t>
      </w:r>
      <w:r>
        <w:rPr>
          <w:sz w:val="16"/>
          <w:szCs w:val="16"/>
        </w:rPr>
        <w:t xml:space="preserve">; </w:t>
      </w:r>
      <w:r w:rsidRPr="006A63BD">
        <w:rPr>
          <w:sz w:val="16"/>
          <w:szCs w:val="16"/>
        </w:rPr>
        <w:t xml:space="preserve">B. VINCK, “Wettelijke en feitelijke samenwoning”, </w:t>
      </w:r>
      <w:r w:rsidRPr="00831C7D">
        <w:rPr>
          <w:i/>
          <w:iCs/>
          <w:sz w:val="16"/>
          <w:szCs w:val="16"/>
        </w:rPr>
        <w:t>TPR</w:t>
      </w:r>
      <w:r w:rsidRPr="006A63BD">
        <w:rPr>
          <w:sz w:val="16"/>
          <w:szCs w:val="16"/>
        </w:rPr>
        <w:t xml:space="preserve"> 2012, </w:t>
      </w:r>
      <w:r>
        <w:rPr>
          <w:sz w:val="16"/>
          <w:szCs w:val="16"/>
        </w:rPr>
        <w:t xml:space="preserve">(1819) </w:t>
      </w:r>
      <w:r w:rsidRPr="006A63BD">
        <w:rPr>
          <w:sz w:val="16"/>
          <w:szCs w:val="16"/>
        </w:rPr>
        <w:t>1821.</w:t>
      </w:r>
    </w:p>
  </w:footnote>
  <w:footnote w:id="28">
    <w:p w14:paraId="6BB8D729" w14:textId="77777777" w:rsidR="00BD18A3" w:rsidRPr="009A4F88" w:rsidRDefault="00BD18A3" w:rsidP="00BD18A3">
      <w:pPr>
        <w:pStyle w:val="Voetnoottekst"/>
        <w:rPr>
          <w:sz w:val="16"/>
          <w:szCs w:val="16"/>
        </w:rPr>
      </w:pPr>
      <w:r>
        <w:rPr>
          <w:rStyle w:val="Voetnootmarkering"/>
        </w:rPr>
        <w:footnoteRef/>
      </w:r>
      <w:r w:rsidRPr="003764C9">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 xml:space="preserve">Leuven, Acco, 2022, 488-489;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 xml:space="preserve">Antwerpen, Intersentia, 2023, 394; </w:t>
      </w:r>
      <w:r w:rsidRPr="003764C9">
        <w:rPr>
          <w:sz w:val="16"/>
          <w:szCs w:val="16"/>
        </w:rPr>
        <w:t>A</w:t>
      </w:r>
      <w:r>
        <w:rPr>
          <w:sz w:val="16"/>
          <w:szCs w:val="16"/>
        </w:rPr>
        <w:t>.</w:t>
      </w:r>
      <w:r w:rsidRPr="003764C9">
        <w:rPr>
          <w:sz w:val="16"/>
          <w:szCs w:val="16"/>
        </w:rPr>
        <w:t xml:space="preserve">-C. VAN GYSEL en J. SAUVAGE, </w:t>
      </w:r>
      <w:r w:rsidRPr="003764C9">
        <w:rPr>
          <w:i/>
          <w:iCs/>
          <w:sz w:val="16"/>
          <w:szCs w:val="16"/>
        </w:rPr>
        <w:t xml:space="preserve">Le couple, </w:t>
      </w:r>
      <w:r w:rsidRPr="003764C9">
        <w:rPr>
          <w:sz w:val="16"/>
          <w:szCs w:val="16"/>
        </w:rPr>
        <w:t>Limal, Anthemis, 20</w:t>
      </w:r>
      <w:r>
        <w:rPr>
          <w:sz w:val="16"/>
          <w:szCs w:val="16"/>
        </w:rPr>
        <w:t>22</w:t>
      </w:r>
      <w:r w:rsidRPr="003764C9">
        <w:rPr>
          <w:sz w:val="16"/>
          <w:szCs w:val="16"/>
        </w:rPr>
        <w:t>, 34</w:t>
      </w:r>
      <w:r>
        <w:rPr>
          <w:sz w:val="16"/>
          <w:szCs w:val="16"/>
        </w:rPr>
        <w:t>.</w:t>
      </w:r>
    </w:p>
  </w:footnote>
  <w:footnote w:id="29">
    <w:p w14:paraId="2D232C18" w14:textId="77777777" w:rsidR="00BD18A3" w:rsidRPr="00232ADE"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488.</w:t>
      </w:r>
    </w:p>
  </w:footnote>
  <w:footnote w:id="30">
    <w:p w14:paraId="395F5349" w14:textId="77777777" w:rsidR="00BD18A3" w:rsidRPr="003764C9" w:rsidRDefault="00BD18A3" w:rsidP="00BD18A3">
      <w:pPr>
        <w:pStyle w:val="Voetnoottekst"/>
        <w:rPr>
          <w:sz w:val="16"/>
          <w:szCs w:val="16"/>
        </w:rPr>
      </w:pPr>
      <w:r>
        <w:rPr>
          <w:rStyle w:val="Voetnootmarkering"/>
        </w:rPr>
        <w:footnoteRef/>
      </w:r>
      <w:r w:rsidRPr="003764C9">
        <w:t xml:space="preserve"> </w:t>
      </w:r>
      <w:r w:rsidRPr="003764C9">
        <w:rPr>
          <w:sz w:val="16"/>
          <w:szCs w:val="16"/>
        </w:rPr>
        <w:t xml:space="preserve">Cass. 17 januari 2013, </w:t>
      </w:r>
      <w:r w:rsidRPr="003764C9">
        <w:rPr>
          <w:i/>
          <w:iCs/>
          <w:sz w:val="16"/>
          <w:szCs w:val="16"/>
        </w:rPr>
        <w:t xml:space="preserve">RW </w:t>
      </w:r>
      <w:r w:rsidRPr="003764C9">
        <w:rPr>
          <w:sz w:val="16"/>
          <w:szCs w:val="16"/>
        </w:rPr>
        <w:t>2013-14, 901</w:t>
      </w:r>
      <w:r>
        <w:rPr>
          <w:sz w:val="16"/>
          <w:szCs w:val="16"/>
        </w:rPr>
        <w:t xml:space="preserve">; L. DE SCHRIJVER, “De wettelijke samenwoning, een verhouding van staat?”, </w:t>
      </w:r>
      <w:r w:rsidRPr="00172EB6">
        <w:rPr>
          <w:i/>
          <w:iCs/>
          <w:sz w:val="16"/>
          <w:szCs w:val="16"/>
        </w:rPr>
        <w:t>T.Fam.</w:t>
      </w:r>
      <w:r>
        <w:rPr>
          <w:sz w:val="16"/>
          <w:szCs w:val="16"/>
        </w:rPr>
        <w:t xml:space="preserve"> 2015, (135) 140.</w:t>
      </w:r>
    </w:p>
  </w:footnote>
  <w:footnote w:id="31">
    <w:p w14:paraId="190AE4B3" w14:textId="77777777" w:rsidR="00BD18A3" w:rsidRPr="00A90EE8" w:rsidRDefault="00BD18A3" w:rsidP="00BD18A3">
      <w:pPr>
        <w:pStyle w:val="Voetnoottekst"/>
        <w:rPr>
          <w:lang w:val="nl-NL"/>
        </w:rPr>
      </w:pPr>
      <w:r>
        <w:rPr>
          <w:rStyle w:val="Voetnootmarkering"/>
        </w:rPr>
        <w:footnoteRef/>
      </w:r>
      <w: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394.</w:t>
      </w:r>
    </w:p>
  </w:footnote>
  <w:footnote w:id="32">
    <w:p w14:paraId="51F45DF3" w14:textId="77777777" w:rsidR="00BD18A3" w:rsidRPr="00A90EE8" w:rsidRDefault="00BD18A3" w:rsidP="00BD18A3">
      <w:pPr>
        <w:pStyle w:val="Voetnoottekst"/>
      </w:pPr>
      <w:r>
        <w:rPr>
          <w:rStyle w:val="Voetnootmarkering"/>
        </w:rPr>
        <w:footnoteRef/>
      </w:r>
      <w:r>
        <w:t xml:space="preserve"> </w:t>
      </w:r>
      <w:r w:rsidRPr="00A90EE8">
        <w:rPr>
          <w:sz w:val="16"/>
          <w:szCs w:val="16"/>
        </w:rPr>
        <w:t xml:space="preserve">Gent 27 november 2014, </w:t>
      </w:r>
      <w:r w:rsidRPr="00A90EE8">
        <w:rPr>
          <w:i/>
          <w:iCs/>
          <w:sz w:val="16"/>
          <w:szCs w:val="16"/>
        </w:rPr>
        <w:t>RTDF</w:t>
      </w:r>
      <w:r w:rsidRPr="00A90EE8">
        <w:rPr>
          <w:sz w:val="16"/>
          <w:szCs w:val="16"/>
        </w:rPr>
        <w:t xml:space="preserve"> 2015, 678, </w:t>
      </w:r>
      <w:r w:rsidRPr="00A90EE8">
        <w:rPr>
          <w:i/>
          <w:iCs/>
          <w:sz w:val="16"/>
          <w:szCs w:val="16"/>
        </w:rPr>
        <w:t>RW</w:t>
      </w:r>
      <w:r w:rsidRPr="00A90EE8">
        <w:rPr>
          <w:sz w:val="16"/>
          <w:szCs w:val="16"/>
        </w:rPr>
        <w:t xml:space="preserve"> 2015-16, 1671, </w:t>
      </w:r>
      <w:r w:rsidRPr="00A90EE8">
        <w:rPr>
          <w:i/>
          <w:iCs/>
          <w:sz w:val="16"/>
          <w:szCs w:val="16"/>
        </w:rPr>
        <w:t>TGR-TWVR</w:t>
      </w:r>
      <w:r w:rsidRPr="00A90EE8">
        <w:rPr>
          <w:sz w:val="16"/>
          <w:szCs w:val="16"/>
        </w:rPr>
        <w:t xml:space="preserve"> 2015, 173</w:t>
      </w:r>
      <w:r>
        <w:rPr>
          <w:sz w:val="16"/>
          <w:szCs w:val="16"/>
        </w:rPr>
        <w:t xml:space="preserve"> </w:t>
      </w:r>
      <w:r w:rsidRPr="00A90EE8">
        <w:rPr>
          <w:sz w:val="16"/>
          <w:szCs w:val="16"/>
        </w:rPr>
        <w:t xml:space="preserve">en </w:t>
      </w:r>
      <w:r w:rsidRPr="00A90EE8">
        <w:rPr>
          <w:i/>
          <w:iCs/>
          <w:sz w:val="16"/>
          <w:szCs w:val="16"/>
        </w:rPr>
        <w:t>T.Fam</w:t>
      </w:r>
      <w:r w:rsidRPr="00A90EE8">
        <w:rPr>
          <w:sz w:val="16"/>
          <w:szCs w:val="16"/>
        </w:rPr>
        <w:t>. 2015, 132, noot L. DE SCHRIJVER</w:t>
      </w:r>
      <w:r>
        <w:rPr>
          <w:sz w:val="16"/>
          <w:szCs w:val="16"/>
        </w:rPr>
        <w:t>.</w:t>
      </w:r>
    </w:p>
  </w:footnote>
  <w:footnote w:id="33">
    <w:p w14:paraId="26C51297" w14:textId="77777777" w:rsidR="00BD18A3" w:rsidRPr="00A90EE8" w:rsidRDefault="00BD18A3" w:rsidP="00BD18A3">
      <w:pPr>
        <w:pStyle w:val="Voetnoottekst"/>
      </w:pPr>
      <w:r>
        <w:rPr>
          <w:rStyle w:val="Voetnootmarkering"/>
        </w:rPr>
        <w:footnoteRef/>
      </w:r>
      <w:r>
        <w:t xml:space="preserve"> </w:t>
      </w:r>
      <w:r w:rsidRPr="00A90EE8">
        <w:rPr>
          <w:sz w:val="16"/>
          <w:szCs w:val="16"/>
        </w:rPr>
        <w:t>Gent 8  januari 2015, nr. 2014/AR/2887</w:t>
      </w:r>
      <w:r>
        <w:rPr>
          <w:sz w:val="16"/>
          <w:szCs w:val="16"/>
        </w:rPr>
        <w:t xml:space="preserve"> en </w:t>
      </w:r>
      <w:r w:rsidRPr="00A90EE8">
        <w:rPr>
          <w:sz w:val="16"/>
          <w:szCs w:val="16"/>
        </w:rPr>
        <w:t xml:space="preserve">Gent 19  november 2015, </w:t>
      </w:r>
      <w:r w:rsidRPr="00A90EE8">
        <w:rPr>
          <w:i/>
          <w:iCs/>
          <w:sz w:val="16"/>
          <w:szCs w:val="16"/>
        </w:rPr>
        <w:t>Tijdschrift@ipr.be</w:t>
      </w:r>
      <w:r w:rsidRPr="00A90EE8">
        <w:rPr>
          <w:sz w:val="16"/>
          <w:szCs w:val="16"/>
        </w:rPr>
        <w:t xml:space="preserve"> 2016, afl. 1, 74 en </w:t>
      </w:r>
      <w:r w:rsidRPr="00A90EE8">
        <w:rPr>
          <w:i/>
          <w:iCs/>
          <w:sz w:val="16"/>
          <w:szCs w:val="16"/>
        </w:rPr>
        <w:t>T.Vreemd.</w:t>
      </w:r>
      <w:r>
        <w:rPr>
          <w:sz w:val="16"/>
          <w:szCs w:val="16"/>
        </w:rPr>
        <w:t xml:space="preserve"> 2016, 246.</w:t>
      </w:r>
    </w:p>
  </w:footnote>
  <w:footnote w:id="34">
    <w:p w14:paraId="7166E020" w14:textId="77777777" w:rsidR="00BD18A3" w:rsidRPr="00E505F3" w:rsidRDefault="00BD18A3" w:rsidP="00BD18A3">
      <w:pPr>
        <w:pStyle w:val="Voetnoottekst"/>
        <w:rPr>
          <w:lang w:val="nl-NL"/>
        </w:rPr>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1111.</w:t>
      </w:r>
    </w:p>
  </w:footnote>
  <w:footnote w:id="35">
    <w:p w14:paraId="12B13173" w14:textId="77777777" w:rsidR="00BD18A3" w:rsidRPr="00996F24" w:rsidRDefault="00BD18A3" w:rsidP="00BD18A3">
      <w:pPr>
        <w:pStyle w:val="Voetnoottekst"/>
        <w:rPr>
          <w:sz w:val="16"/>
          <w:szCs w:val="16"/>
        </w:rPr>
      </w:pPr>
      <w:r>
        <w:rPr>
          <w:rStyle w:val="Voetnootmarkering"/>
        </w:rPr>
        <w:footnoteRef/>
      </w:r>
      <w:r>
        <w:t xml:space="preserve"> </w:t>
      </w:r>
      <w:r>
        <w:rPr>
          <w:sz w:val="16"/>
          <w:szCs w:val="16"/>
        </w:rPr>
        <w:t>Art. 1477 oud BW.</w:t>
      </w:r>
    </w:p>
  </w:footnote>
  <w:footnote w:id="36">
    <w:p w14:paraId="32C2CC24" w14:textId="77777777" w:rsidR="00BD18A3" w:rsidRPr="001B4EB3" w:rsidRDefault="00BD18A3" w:rsidP="00BD18A3">
      <w:pPr>
        <w:pStyle w:val="Voetnoottekst"/>
      </w:pPr>
      <w:r>
        <w:rPr>
          <w:rStyle w:val="Voetnootmarkering"/>
        </w:rPr>
        <w:footnoteRef/>
      </w:r>
      <w:r>
        <w:t xml:space="preserve"> </w:t>
      </w:r>
      <w:r w:rsidRPr="001B4EB3">
        <w:rPr>
          <w:sz w:val="16"/>
          <w:szCs w:val="16"/>
        </w:rPr>
        <w:t xml:space="preserve">W. PINTENS, C. DECLERCK en K. VANWINCKELEN, </w:t>
      </w:r>
      <w:r w:rsidRPr="001B4EB3">
        <w:rPr>
          <w:i/>
          <w:iCs/>
          <w:sz w:val="16"/>
          <w:szCs w:val="16"/>
        </w:rPr>
        <w:t>Schets van het familiaal vermogensrecht</w:t>
      </w:r>
      <w:r w:rsidRPr="001B4EB3">
        <w:rPr>
          <w:sz w:val="16"/>
          <w:szCs w:val="16"/>
        </w:rPr>
        <w:t>, Antwerpen, Intersentia, 2012, 207.</w:t>
      </w:r>
    </w:p>
  </w:footnote>
  <w:footnote w:id="37">
    <w:p w14:paraId="761E3FDD" w14:textId="77777777" w:rsidR="00BD18A3" w:rsidRPr="00C275E6" w:rsidRDefault="00BD18A3" w:rsidP="00BD18A3">
      <w:pPr>
        <w:pStyle w:val="Voetnoottekst"/>
      </w:pPr>
      <w:r>
        <w:rPr>
          <w:rStyle w:val="Voetnootmarkering"/>
        </w:rPr>
        <w:footnoteRef/>
      </w:r>
      <w:r>
        <w:t xml:space="preserve"> </w:t>
      </w:r>
      <w:r w:rsidRPr="00C275E6">
        <w:rPr>
          <w:sz w:val="16"/>
          <w:szCs w:val="16"/>
        </w:rPr>
        <w:t>Art</w:t>
      </w:r>
      <w:r>
        <w:rPr>
          <w:sz w:val="16"/>
          <w:szCs w:val="16"/>
        </w:rPr>
        <w:t>.</w:t>
      </w:r>
      <w:r w:rsidRPr="00C275E6">
        <w:rPr>
          <w:sz w:val="16"/>
          <w:szCs w:val="16"/>
        </w:rPr>
        <w:t xml:space="preserve"> 1478</w:t>
      </w:r>
      <w:r>
        <w:rPr>
          <w:sz w:val="16"/>
          <w:szCs w:val="16"/>
        </w:rPr>
        <w:t>,</w:t>
      </w:r>
      <w:r w:rsidRPr="00C275E6">
        <w:rPr>
          <w:sz w:val="16"/>
          <w:szCs w:val="16"/>
        </w:rPr>
        <w:t xml:space="preserve"> lid 1 </w:t>
      </w:r>
      <w:r>
        <w:rPr>
          <w:sz w:val="16"/>
          <w:szCs w:val="16"/>
        </w:rPr>
        <w:t xml:space="preserve">oud </w:t>
      </w:r>
      <w:r w:rsidRPr="00C275E6">
        <w:rPr>
          <w:sz w:val="16"/>
          <w:szCs w:val="16"/>
        </w:rPr>
        <w:t>BW.</w:t>
      </w:r>
    </w:p>
  </w:footnote>
  <w:footnote w:id="38">
    <w:p w14:paraId="018509BC" w14:textId="77777777" w:rsidR="00BD18A3" w:rsidRPr="0093163C" w:rsidRDefault="00BD18A3" w:rsidP="00BD18A3">
      <w:pPr>
        <w:pStyle w:val="Voetnoottekst"/>
      </w:pPr>
      <w:r>
        <w:rPr>
          <w:rStyle w:val="Voetnootmarkering"/>
        </w:rPr>
        <w:footnoteRef/>
      </w:r>
      <w:r>
        <w:t xml:space="preserve"> </w:t>
      </w:r>
      <w:r w:rsidRPr="0093163C">
        <w:rPr>
          <w:sz w:val="16"/>
          <w:szCs w:val="16"/>
        </w:rPr>
        <w:t xml:space="preserve">W. PINTENS, C. DECLERCK en K. VANWINCKELEN, </w:t>
      </w:r>
      <w:r w:rsidRPr="0093163C">
        <w:rPr>
          <w:i/>
          <w:iCs/>
          <w:sz w:val="16"/>
          <w:szCs w:val="16"/>
        </w:rPr>
        <w:t>Schets van het familiaal vermogensrecht</w:t>
      </w:r>
      <w:r w:rsidRPr="0093163C">
        <w:rPr>
          <w:sz w:val="16"/>
          <w:szCs w:val="16"/>
        </w:rPr>
        <w:t>, Antwerpen, Intersentia, 2012, 207.</w:t>
      </w:r>
    </w:p>
  </w:footnote>
  <w:footnote w:id="39">
    <w:p w14:paraId="67D31BEE" w14:textId="77777777" w:rsidR="00BD18A3" w:rsidRPr="0002063A" w:rsidRDefault="00BD18A3" w:rsidP="00BD18A3">
      <w:pPr>
        <w:pStyle w:val="Voetnoottekst"/>
        <w:rPr>
          <w:sz w:val="16"/>
          <w:szCs w:val="16"/>
          <w:lang w:val="nl-NL"/>
        </w:rPr>
      </w:pPr>
      <w:r>
        <w:rPr>
          <w:rStyle w:val="Voetnootmarkering"/>
        </w:rPr>
        <w:footnoteRef/>
      </w:r>
      <w:r w:rsidRPr="00767172">
        <w:rPr>
          <w:lang w:val="fr-BE"/>
        </w:rPr>
        <w:t xml:space="preserve"> </w:t>
      </w:r>
      <w:r w:rsidRPr="00767172">
        <w:rPr>
          <w:sz w:val="16"/>
          <w:szCs w:val="16"/>
          <w:lang w:val="fr-BE"/>
        </w:rPr>
        <w:t>I. BOONE, J. DU MONGH en A</w:t>
      </w:r>
      <w:r>
        <w:rPr>
          <w:sz w:val="16"/>
          <w:szCs w:val="16"/>
          <w:lang w:val="fr-BE"/>
        </w:rPr>
        <w:t>.</w:t>
      </w:r>
      <w:r w:rsidRPr="00767172">
        <w:rPr>
          <w:sz w:val="16"/>
          <w:szCs w:val="16"/>
          <w:lang w:val="fr-BE"/>
        </w:rPr>
        <w:t xml:space="preserve">-L. </w:t>
      </w:r>
      <w:r>
        <w:rPr>
          <w:sz w:val="16"/>
          <w:szCs w:val="16"/>
        </w:rPr>
        <w:t>VERBEKE,</w:t>
      </w:r>
      <w:r>
        <w:rPr>
          <w:i/>
          <w:iCs/>
          <w:sz w:val="16"/>
          <w:szCs w:val="16"/>
        </w:rPr>
        <w:t xml:space="preserve"> Personen-, familie- en relatievermogensrecht, </w:t>
      </w:r>
      <w:r>
        <w:rPr>
          <w:sz w:val="16"/>
          <w:szCs w:val="16"/>
        </w:rPr>
        <w:t xml:space="preserve">Leuven, Acco, 2020, 407; </w:t>
      </w:r>
      <w:r w:rsidRPr="006971E4">
        <w:rPr>
          <w:sz w:val="16"/>
          <w:szCs w:val="16"/>
        </w:rPr>
        <w:t xml:space="preserve">W. PINTENS, C. DECLERCK en K. VANWINCKELEN, </w:t>
      </w:r>
      <w:r w:rsidRPr="006971E4">
        <w:rPr>
          <w:i/>
          <w:iCs/>
          <w:sz w:val="16"/>
          <w:szCs w:val="16"/>
        </w:rPr>
        <w:t>Schets van het familiaal vermogensrecht</w:t>
      </w:r>
      <w:r w:rsidRPr="006971E4">
        <w:rPr>
          <w:sz w:val="16"/>
          <w:szCs w:val="16"/>
        </w:rPr>
        <w:t>, Antwerpen, Intersentia, 2012, 202</w:t>
      </w:r>
      <w:r>
        <w:rPr>
          <w:sz w:val="16"/>
          <w:szCs w:val="16"/>
        </w:rPr>
        <w:t xml:space="preserve">; </w:t>
      </w:r>
      <w:r w:rsidRPr="00971D7B">
        <w:rPr>
          <w:sz w:val="16"/>
          <w:szCs w:val="16"/>
          <w:lang w:val="nl-NL"/>
        </w:rPr>
        <w:t xml:space="preserve">F. SWENNEN, </w:t>
      </w:r>
      <w:r w:rsidRPr="00971D7B">
        <w:rPr>
          <w:i/>
          <w:iCs/>
          <w:sz w:val="16"/>
          <w:szCs w:val="16"/>
          <w:lang w:val="nl-NL"/>
        </w:rPr>
        <w:t>Het personen-</w:t>
      </w:r>
      <w:r>
        <w:rPr>
          <w:i/>
          <w:iCs/>
          <w:sz w:val="16"/>
          <w:szCs w:val="16"/>
          <w:lang w:val="nl-NL"/>
        </w:rPr>
        <w:t xml:space="preserve"> </w:t>
      </w:r>
      <w:r w:rsidRPr="00971D7B">
        <w:rPr>
          <w:i/>
          <w:iCs/>
          <w:sz w:val="16"/>
          <w:szCs w:val="16"/>
          <w:lang w:val="nl-NL"/>
        </w:rPr>
        <w:t xml:space="preserve">en </w:t>
      </w:r>
      <w:r>
        <w:rPr>
          <w:i/>
          <w:iCs/>
          <w:sz w:val="16"/>
          <w:szCs w:val="16"/>
          <w:lang w:val="nl-NL"/>
        </w:rPr>
        <w:t>f</w:t>
      </w:r>
      <w:r w:rsidRPr="00971D7B">
        <w:rPr>
          <w:i/>
          <w:iCs/>
          <w:sz w:val="16"/>
          <w:szCs w:val="16"/>
          <w:lang w:val="nl-NL"/>
        </w:rPr>
        <w:t xml:space="preserve">amilierecht, </w:t>
      </w:r>
      <w:r w:rsidRPr="00971D7B">
        <w:rPr>
          <w:sz w:val="16"/>
          <w:szCs w:val="16"/>
          <w:lang w:val="nl-NL"/>
        </w:rPr>
        <w:t>Antwerpen, Intersentia, 202</w:t>
      </w:r>
      <w:r>
        <w:rPr>
          <w:sz w:val="16"/>
          <w:szCs w:val="16"/>
          <w:lang w:val="nl-NL"/>
        </w:rPr>
        <w:t>3</w:t>
      </w:r>
      <w:r w:rsidRPr="00971D7B">
        <w:rPr>
          <w:sz w:val="16"/>
          <w:szCs w:val="16"/>
          <w:lang w:val="nl-NL"/>
        </w:rPr>
        <w:t xml:space="preserve">, </w:t>
      </w:r>
      <w:r>
        <w:rPr>
          <w:sz w:val="16"/>
          <w:szCs w:val="16"/>
          <w:lang w:val="nl-NL"/>
        </w:rPr>
        <w:t>399-401;</w:t>
      </w:r>
      <w:r>
        <w:rPr>
          <w:sz w:val="16"/>
          <w:szCs w:val="16"/>
        </w:rPr>
        <w:t xml:space="preserve"> </w:t>
      </w:r>
      <w:r w:rsidRPr="0002063A">
        <w:rPr>
          <w:sz w:val="16"/>
          <w:szCs w:val="16"/>
        </w:rPr>
        <w:t>J. VERSTRAETE, “Beschermingstechnieken (andere dan tontine- en aanwasbedingen) tussen ongehuwd samenwonenden” in K. MATTHIJS, J. VERSTRAETE, J. BAEL, Y.-H. LELEU, A. WYLLEMAN, H. CASMAN en J.-L. RENCHON</w:t>
      </w:r>
      <w:r>
        <w:rPr>
          <w:sz w:val="16"/>
          <w:szCs w:val="16"/>
        </w:rPr>
        <w:t xml:space="preserve"> (eds.)</w:t>
      </w:r>
      <w:r w:rsidRPr="0002063A">
        <w:rPr>
          <w:sz w:val="16"/>
          <w:szCs w:val="16"/>
        </w:rPr>
        <w:t xml:space="preserve">, </w:t>
      </w:r>
      <w:r w:rsidRPr="000608C8">
        <w:rPr>
          <w:i/>
          <w:iCs/>
          <w:sz w:val="16"/>
          <w:szCs w:val="16"/>
        </w:rPr>
        <w:t>Familie op maat</w:t>
      </w:r>
      <w:r w:rsidRPr="0002063A">
        <w:rPr>
          <w:sz w:val="16"/>
          <w:szCs w:val="16"/>
        </w:rPr>
        <w:t>, Mechelen, Kluwer, 2005, (25) 44.</w:t>
      </w:r>
    </w:p>
  </w:footnote>
  <w:footnote w:id="40">
    <w:p w14:paraId="28E360DD" w14:textId="77777777" w:rsidR="00BD18A3" w:rsidRPr="008721D9" w:rsidRDefault="00BD18A3" w:rsidP="00BD18A3">
      <w:pPr>
        <w:pStyle w:val="Voetnoottekst"/>
      </w:pPr>
      <w:r>
        <w:rPr>
          <w:rStyle w:val="Voetnootmarkering"/>
        </w:rPr>
        <w:footnoteRef/>
      </w:r>
      <w:r>
        <w:t xml:space="preserve"> </w:t>
      </w:r>
      <w:r>
        <w:rPr>
          <w:sz w:val="16"/>
          <w:szCs w:val="16"/>
        </w:rPr>
        <w:t xml:space="preserve">Wet 23 november 1998 tot invoering van de wettelijke samenwoning, </w:t>
      </w:r>
      <w:r>
        <w:rPr>
          <w:i/>
          <w:iCs/>
          <w:sz w:val="16"/>
          <w:szCs w:val="16"/>
        </w:rPr>
        <w:t xml:space="preserve">BS </w:t>
      </w:r>
      <w:r>
        <w:rPr>
          <w:sz w:val="16"/>
          <w:szCs w:val="16"/>
        </w:rPr>
        <w:t>12 januari 1999.</w:t>
      </w:r>
    </w:p>
  </w:footnote>
  <w:footnote w:id="41">
    <w:p w14:paraId="3607D6B4" w14:textId="77777777" w:rsidR="00BD18A3" w:rsidRPr="00E747E3" w:rsidRDefault="00BD18A3" w:rsidP="00BD18A3">
      <w:pPr>
        <w:pStyle w:val="Voetnoottekst"/>
        <w:rPr>
          <w:sz w:val="16"/>
          <w:szCs w:val="16"/>
        </w:rPr>
      </w:pPr>
      <w:r>
        <w:rPr>
          <w:rStyle w:val="Voetnootmarkering"/>
        </w:rPr>
        <w:footnoteRef/>
      </w:r>
      <w:r w:rsidRPr="00E747E3">
        <w:t xml:space="preserve"> </w:t>
      </w:r>
      <w:r w:rsidRPr="00E747E3">
        <w:rPr>
          <w:sz w:val="16"/>
          <w:szCs w:val="16"/>
        </w:rPr>
        <w:t>Art. 1476, §</w:t>
      </w:r>
      <w:r>
        <w:rPr>
          <w:sz w:val="16"/>
          <w:szCs w:val="16"/>
        </w:rPr>
        <w:t xml:space="preserve"> </w:t>
      </w:r>
      <w:r w:rsidRPr="00E747E3">
        <w:rPr>
          <w:sz w:val="16"/>
          <w:szCs w:val="16"/>
        </w:rPr>
        <w:t>2 oud BW</w:t>
      </w:r>
      <w:r>
        <w:rPr>
          <w:sz w:val="16"/>
          <w:szCs w:val="16"/>
        </w:rPr>
        <w:t xml:space="preserve"> en</w:t>
      </w:r>
      <w:r w:rsidRPr="00E747E3">
        <w:rPr>
          <w:sz w:val="16"/>
          <w:szCs w:val="16"/>
        </w:rPr>
        <w:t xml:space="preserve"> Wet</w:t>
      </w:r>
      <w:r>
        <w:rPr>
          <w:sz w:val="16"/>
          <w:szCs w:val="16"/>
        </w:rPr>
        <w:t xml:space="preserve"> 8 februari 2023</w:t>
      </w:r>
      <w:r w:rsidRPr="00E747E3">
        <w:rPr>
          <w:sz w:val="16"/>
          <w:szCs w:val="16"/>
        </w:rPr>
        <w:t xml:space="preserve"> tot wijziging van het oud Burgerlijk Wetboek met het oog op de afschaffing van de beëindiging van de wettelijke samenwoning door het huwelijk met een derde</w:t>
      </w:r>
      <w:r>
        <w:rPr>
          <w:sz w:val="16"/>
          <w:szCs w:val="16"/>
        </w:rPr>
        <w:t xml:space="preserve">, </w:t>
      </w:r>
      <w:r>
        <w:rPr>
          <w:i/>
          <w:iCs/>
          <w:sz w:val="16"/>
          <w:szCs w:val="16"/>
        </w:rPr>
        <w:t xml:space="preserve">BS </w:t>
      </w:r>
      <w:r>
        <w:rPr>
          <w:sz w:val="16"/>
          <w:szCs w:val="16"/>
        </w:rPr>
        <w:t>1 maart 2023.</w:t>
      </w:r>
    </w:p>
  </w:footnote>
  <w:footnote w:id="42">
    <w:p w14:paraId="65C477C1" w14:textId="77777777" w:rsidR="00BD18A3" w:rsidRPr="00AE6E64" w:rsidRDefault="00BD18A3" w:rsidP="00BD18A3">
      <w:pPr>
        <w:pStyle w:val="Voetnoottekst"/>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1109.</w:t>
      </w:r>
    </w:p>
  </w:footnote>
  <w:footnote w:id="43">
    <w:p w14:paraId="3D330214" w14:textId="77777777" w:rsidR="00BD18A3" w:rsidRPr="00013D67" w:rsidRDefault="00BD18A3" w:rsidP="00BD18A3">
      <w:pPr>
        <w:pStyle w:val="Voetnoottekst"/>
        <w:rPr>
          <w:lang w:val="nl-NL"/>
        </w:rPr>
      </w:pPr>
      <w:r>
        <w:rPr>
          <w:rStyle w:val="Voetnootmarkering"/>
        </w:rPr>
        <w:footnoteRef/>
      </w:r>
      <w:r w:rsidRPr="00991E54">
        <w:rPr>
          <w:lang w:val="fr-BE"/>
        </w:rPr>
        <w:t xml:space="preserve"> </w:t>
      </w:r>
      <w:r w:rsidRPr="00991E54">
        <w:rPr>
          <w:sz w:val="16"/>
          <w:szCs w:val="16"/>
          <w:lang w:val="fr-BE"/>
        </w:rPr>
        <w:t>I. BOONE, J. DU MONGH en A</w:t>
      </w:r>
      <w:r>
        <w:rPr>
          <w:sz w:val="16"/>
          <w:szCs w:val="16"/>
          <w:lang w:val="fr-BE"/>
        </w:rPr>
        <w:t>.</w:t>
      </w:r>
      <w:r w:rsidRPr="00991E54">
        <w:rPr>
          <w:sz w:val="16"/>
          <w:szCs w:val="16"/>
          <w:lang w:val="fr-BE"/>
        </w:rPr>
        <w:t xml:space="preserve">-L. </w:t>
      </w:r>
      <w:r>
        <w:rPr>
          <w:sz w:val="16"/>
          <w:szCs w:val="16"/>
        </w:rPr>
        <w:t>VERBEKE,</w:t>
      </w:r>
      <w:r>
        <w:rPr>
          <w:i/>
          <w:iCs/>
          <w:sz w:val="16"/>
          <w:szCs w:val="16"/>
        </w:rPr>
        <w:t xml:space="preserve"> Personen-, familie- en relatievermogensrecht, </w:t>
      </w:r>
      <w:r>
        <w:rPr>
          <w:sz w:val="16"/>
          <w:szCs w:val="16"/>
        </w:rPr>
        <w:t xml:space="preserve">Leuven, Acco, 2020, 419;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405-409.</w:t>
      </w:r>
    </w:p>
  </w:footnote>
  <w:footnote w:id="44">
    <w:p w14:paraId="68E3805F" w14:textId="77777777" w:rsidR="00BD18A3" w:rsidRPr="00387DD0"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677.</w:t>
      </w:r>
    </w:p>
  </w:footnote>
  <w:footnote w:id="45">
    <w:p w14:paraId="7AC0A4CF" w14:textId="77777777" w:rsidR="00BD18A3" w:rsidRPr="00664742" w:rsidRDefault="00BD18A3" w:rsidP="00BD18A3">
      <w:pPr>
        <w:pStyle w:val="Voetnoottekst"/>
        <w:rPr>
          <w:lang w:val="fr-BE"/>
        </w:rPr>
      </w:pPr>
      <w:r>
        <w:rPr>
          <w:rStyle w:val="Voetnootmarkering"/>
        </w:rPr>
        <w:footnoteRef/>
      </w:r>
      <w:r w:rsidRPr="00664742">
        <w:rPr>
          <w:lang w:val="fr-BE"/>
        </w:rPr>
        <w:t xml:space="preserve"> </w:t>
      </w:r>
      <w:r w:rsidRPr="00664742">
        <w:rPr>
          <w:sz w:val="16"/>
          <w:szCs w:val="21"/>
          <w:lang w:val="fr-BE"/>
        </w:rPr>
        <w:t xml:space="preserve">S. JAUMOTTE, </w:t>
      </w:r>
      <w:r w:rsidRPr="00664742">
        <w:rPr>
          <w:i/>
          <w:iCs/>
          <w:sz w:val="16"/>
          <w:szCs w:val="21"/>
          <w:lang w:val="fr-BE"/>
        </w:rPr>
        <w:t>Droit familial: modèles et commentaires pratiques</w:t>
      </w:r>
      <w:r w:rsidRPr="00664742">
        <w:rPr>
          <w:sz w:val="16"/>
          <w:szCs w:val="21"/>
          <w:lang w:val="fr-BE"/>
        </w:rPr>
        <w:t>, Antwerpen,</w:t>
      </w:r>
      <w:r>
        <w:rPr>
          <w:sz w:val="16"/>
          <w:szCs w:val="21"/>
          <w:lang w:val="fr-BE"/>
        </w:rPr>
        <w:t xml:space="preserve"> </w:t>
      </w:r>
      <w:r w:rsidRPr="00664742">
        <w:rPr>
          <w:sz w:val="16"/>
          <w:szCs w:val="21"/>
          <w:lang w:val="fr-BE"/>
        </w:rPr>
        <w:t>Kluwer, 20</w:t>
      </w:r>
      <w:r>
        <w:rPr>
          <w:sz w:val="16"/>
          <w:szCs w:val="21"/>
          <w:lang w:val="fr-BE"/>
        </w:rPr>
        <w:t xml:space="preserve">20, 3; </w:t>
      </w:r>
      <w:r w:rsidRPr="00664742">
        <w:rPr>
          <w:sz w:val="16"/>
          <w:szCs w:val="21"/>
          <w:lang w:val="fr-BE"/>
        </w:rPr>
        <w:t>A</w:t>
      </w:r>
      <w:r>
        <w:rPr>
          <w:sz w:val="16"/>
          <w:szCs w:val="21"/>
          <w:lang w:val="fr-BE"/>
        </w:rPr>
        <w:t>.-</w:t>
      </w:r>
      <w:r w:rsidRPr="00664742">
        <w:rPr>
          <w:sz w:val="16"/>
          <w:szCs w:val="21"/>
          <w:lang w:val="fr-BE"/>
        </w:rPr>
        <w:t xml:space="preserve">C. VAN GYSEL en J. SAUVAGE, </w:t>
      </w:r>
      <w:r w:rsidRPr="00664742">
        <w:rPr>
          <w:i/>
          <w:iCs/>
          <w:sz w:val="16"/>
          <w:szCs w:val="21"/>
          <w:lang w:val="fr-BE"/>
        </w:rPr>
        <w:t>Le couple</w:t>
      </w:r>
      <w:r w:rsidRPr="00664742">
        <w:rPr>
          <w:sz w:val="16"/>
          <w:szCs w:val="21"/>
          <w:lang w:val="fr-BE"/>
        </w:rPr>
        <w:t>, Limal, Anthemis, 20</w:t>
      </w:r>
      <w:r>
        <w:rPr>
          <w:sz w:val="16"/>
          <w:szCs w:val="21"/>
          <w:lang w:val="fr-BE"/>
        </w:rPr>
        <w:t>22</w:t>
      </w:r>
      <w:r w:rsidRPr="00664742">
        <w:rPr>
          <w:sz w:val="16"/>
          <w:szCs w:val="21"/>
          <w:lang w:val="fr-BE"/>
        </w:rPr>
        <w:t>, 24 en 35.</w:t>
      </w:r>
    </w:p>
  </w:footnote>
  <w:footnote w:id="46">
    <w:p w14:paraId="4B7F9368" w14:textId="77777777" w:rsidR="00BD18A3" w:rsidRPr="00040338" w:rsidRDefault="00BD18A3" w:rsidP="00BD18A3">
      <w:pPr>
        <w:pStyle w:val="Voetnoottekst"/>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1153.</w:t>
      </w:r>
    </w:p>
  </w:footnote>
  <w:footnote w:id="47">
    <w:p w14:paraId="7846E082" w14:textId="77777777" w:rsidR="00BD18A3" w:rsidRPr="007100B0" w:rsidRDefault="00BD18A3" w:rsidP="00BD18A3">
      <w:pPr>
        <w:pStyle w:val="Voetnoottekst"/>
        <w:rPr>
          <w:lang w:val="nl-NL"/>
        </w:rPr>
      </w:pPr>
      <w:r>
        <w:rPr>
          <w:rStyle w:val="Voetnootmarkering"/>
        </w:rPr>
        <w:footnoteRef/>
      </w:r>
      <w: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408-409.</w:t>
      </w:r>
    </w:p>
  </w:footnote>
  <w:footnote w:id="48">
    <w:p w14:paraId="521FD25D" w14:textId="77777777" w:rsidR="00BD18A3" w:rsidRPr="001F095B" w:rsidRDefault="00BD18A3" w:rsidP="00BD18A3">
      <w:pPr>
        <w:pStyle w:val="Voetnoottekst"/>
        <w:rPr>
          <w:lang w:val="nl-NL"/>
        </w:rPr>
      </w:pPr>
      <w:r>
        <w:rPr>
          <w:rStyle w:val="Voetnootmarkering"/>
        </w:rPr>
        <w:footnoteRef/>
      </w:r>
      <w:r w:rsidRPr="00C33096">
        <w:rPr>
          <w:lang w:val="fr-BE"/>
        </w:rPr>
        <w:t xml:space="preserve"> </w:t>
      </w:r>
      <w:r w:rsidRPr="00C33096">
        <w:rPr>
          <w:sz w:val="16"/>
          <w:szCs w:val="16"/>
          <w:lang w:val="fr-BE"/>
        </w:rPr>
        <w:t>I. BOONE, J. DU MONGH en A</w:t>
      </w:r>
      <w:r>
        <w:rPr>
          <w:sz w:val="16"/>
          <w:szCs w:val="16"/>
          <w:lang w:val="fr-BE"/>
        </w:rPr>
        <w:t>.</w:t>
      </w:r>
      <w:r w:rsidRPr="00C33096">
        <w:rPr>
          <w:sz w:val="16"/>
          <w:szCs w:val="16"/>
          <w:lang w:val="fr-BE"/>
        </w:rPr>
        <w:t xml:space="preserve">-L. </w:t>
      </w:r>
      <w:r>
        <w:rPr>
          <w:sz w:val="16"/>
          <w:szCs w:val="16"/>
        </w:rPr>
        <w:t>VERBEKE,</w:t>
      </w:r>
      <w:r>
        <w:rPr>
          <w:i/>
          <w:iCs/>
          <w:sz w:val="16"/>
          <w:szCs w:val="16"/>
        </w:rPr>
        <w:t xml:space="preserve"> Personen-, familie- en relatievermogensrecht, </w:t>
      </w:r>
      <w:r>
        <w:rPr>
          <w:sz w:val="16"/>
          <w:szCs w:val="16"/>
        </w:rPr>
        <w:t xml:space="preserve">Leuven, Acco, 2020, 419;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405-409.</w:t>
      </w:r>
    </w:p>
  </w:footnote>
  <w:footnote w:id="49">
    <w:p w14:paraId="29D60C6F" w14:textId="77777777" w:rsidR="00BD18A3" w:rsidRPr="00B762EB" w:rsidRDefault="00BD18A3" w:rsidP="00BD18A3">
      <w:pPr>
        <w:pStyle w:val="Voetnoottekst"/>
        <w:rPr>
          <w:lang w:val="nl-NL"/>
        </w:rPr>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 xml:space="preserve">Leuven, Acco, 2022, 479; G. VERSCHELDEN, </w:t>
      </w:r>
      <w:r>
        <w:rPr>
          <w:i/>
          <w:iCs/>
          <w:sz w:val="16"/>
          <w:szCs w:val="16"/>
        </w:rPr>
        <w:t xml:space="preserve">Handboek Belgisch Personen-, familie- en relatievermogensrecht, </w:t>
      </w:r>
      <w:r>
        <w:rPr>
          <w:sz w:val="16"/>
          <w:szCs w:val="16"/>
        </w:rPr>
        <w:t>Brugge, die Keure, 2023, 609.</w:t>
      </w:r>
    </w:p>
  </w:footnote>
  <w:footnote w:id="50">
    <w:p w14:paraId="13A7BF37" w14:textId="77777777" w:rsidR="00BD18A3" w:rsidRPr="00C65569" w:rsidRDefault="00BD18A3" w:rsidP="00BD18A3">
      <w:pPr>
        <w:pStyle w:val="Voetnoottekst"/>
        <w:rPr>
          <w:sz w:val="16"/>
          <w:szCs w:val="16"/>
          <w:lang w:val="en-US"/>
        </w:rPr>
      </w:pPr>
      <w:r>
        <w:rPr>
          <w:rStyle w:val="Voetnootmarkering"/>
        </w:rPr>
        <w:footnoteRef/>
      </w:r>
      <w:r w:rsidRPr="00C65569">
        <w:rPr>
          <w:lang w:val="en-US"/>
        </w:rPr>
        <w:t xml:space="preserve"> </w:t>
      </w:r>
      <w:r w:rsidRPr="00C65569">
        <w:rPr>
          <w:sz w:val="16"/>
          <w:szCs w:val="16"/>
          <w:lang w:val="en-US"/>
        </w:rPr>
        <w:t>Art. 5.6 BW</w:t>
      </w:r>
      <w:r>
        <w:rPr>
          <w:sz w:val="16"/>
          <w:szCs w:val="16"/>
          <w:lang w:val="en-US"/>
        </w:rPr>
        <w:t>.</w:t>
      </w:r>
    </w:p>
  </w:footnote>
  <w:footnote w:id="51">
    <w:p w14:paraId="255F5FFF" w14:textId="77777777" w:rsidR="00BD18A3" w:rsidRPr="00747A47" w:rsidRDefault="00BD18A3" w:rsidP="00BD18A3">
      <w:pPr>
        <w:pStyle w:val="Voetnoottekst"/>
        <w:rPr>
          <w:sz w:val="16"/>
          <w:szCs w:val="16"/>
          <w:lang w:val="en-US"/>
        </w:rPr>
      </w:pPr>
      <w:r>
        <w:rPr>
          <w:rStyle w:val="Voetnootmarkering"/>
        </w:rPr>
        <w:footnoteRef/>
      </w:r>
      <w:r w:rsidRPr="00747A47">
        <w:rPr>
          <w:lang w:val="en-US"/>
        </w:rPr>
        <w:t xml:space="preserve"> </w:t>
      </w:r>
      <w:r>
        <w:rPr>
          <w:sz w:val="16"/>
          <w:szCs w:val="16"/>
          <w:lang w:val="en-US"/>
        </w:rPr>
        <w:t>Art. 5.4 BW.</w:t>
      </w:r>
    </w:p>
  </w:footnote>
  <w:footnote w:id="52">
    <w:p w14:paraId="56F28A42" w14:textId="77777777" w:rsidR="00BD18A3" w:rsidRPr="00B151E8" w:rsidRDefault="00BD18A3" w:rsidP="00BD18A3">
      <w:pPr>
        <w:pStyle w:val="Voetnoottekst"/>
        <w:rPr>
          <w:sz w:val="16"/>
          <w:szCs w:val="16"/>
          <w:lang w:val="en-US"/>
        </w:rPr>
      </w:pPr>
      <w:r>
        <w:rPr>
          <w:rStyle w:val="Voetnootmarkering"/>
        </w:rPr>
        <w:footnoteRef/>
      </w:r>
      <w:r w:rsidRPr="00B151E8">
        <w:rPr>
          <w:lang w:val="en-US"/>
        </w:rPr>
        <w:t xml:space="preserve"> </w:t>
      </w:r>
      <w:r>
        <w:rPr>
          <w:sz w:val="16"/>
          <w:szCs w:val="16"/>
          <w:lang w:val="en-US"/>
        </w:rPr>
        <w:t>Art. 5.6 BW.</w:t>
      </w:r>
    </w:p>
  </w:footnote>
  <w:footnote w:id="53">
    <w:p w14:paraId="31AEF0E7" w14:textId="77777777" w:rsidR="00BD18A3" w:rsidRPr="00F22F44" w:rsidRDefault="00BD18A3" w:rsidP="00BD18A3">
      <w:pPr>
        <w:pStyle w:val="Voetnoottekst"/>
        <w:rPr>
          <w:sz w:val="16"/>
          <w:szCs w:val="16"/>
        </w:rPr>
      </w:pPr>
      <w:r>
        <w:rPr>
          <w:rStyle w:val="Voetnootmarkering"/>
        </w:rPr>
        <w:footnoteRef/>
      </w:r>
      <w:r w:rsidRPr="00F22F44">
        <w:t xml:space="preserve"> </w:t>
      </w:r>
      <w:r w:rsidRPr="00F22F44">
        <w:rPr>
          <w:sz w:val="16"/>
          <w:szCs w:val="16"/>
        </w:rPr>
        <w:t>Art. 5.1 BW.</w:t>
      </w:r>
    </w:p>
  </w:footnote>
  <w:footnote w:id="54">
    <w:p w14:paraId="1F5C891D" w14:textId="77777777" w:rsidR="00BD18A3" w:rsidRPr="00947AB1" w:rsidRDefault="00BD18A3" w:rsidP="00BD18A3">
      <w:pPr>
        <w:pStyle w:val="Voetnoottekst"/>
      </w:pPr>
      <w:r>
        <w:rPr>
          <w:rStyle w:val="Voetnootmarkering"/>
        </w:rPr>
        <w:footnoteRef/>
      </w:r>
      <w:r>
        <w:t xml:space="preserve"> </w:t>
      </w:r>
      <w:r w:rsidRPr="00947AB1">
        <w:rPr>
          <w:sz w:val="16"/>
          <w:szCs w:val="16"/>
        </w:rPr>
        <w:t>Art. 5.149, tweede lid BW.</w:t>
      </w:r>
    </w:p>
  </w:footnote>
  <w:footnote w:id="55">
    <w:p w14:paraId="3C04E40B" w14:textId="77777777" w:rsidR="00BD18A3" w:rsidRPr="004C2183" w:rsidRDefault="00BD18A3" w:rsidP="00BD18A3">
      <w:pPr>
        <w:pStyle w:val="Voetnoottekst"/>
        <w:rPr>
          <w:sz w:val="16"/>
          <w:szCs w:val="16"/>
          <w:lang w:val="nl-NL"/>
        </w:rPr>
      </w:pPr>
      <w:r>
        <w:rPr>
          <w:rStyle w:val="Voetnootmarkering"/>
        </w:rPr>
        <w:footnoteRef/>
      </w:r>
      <w:r>
        <w:t xml:space="preserve"> </w:t>
      </w:r>
      <w:r>
        <w:rPr>
          <w:sz w:val="16"/>
          <w:szCs w:val="16"/>
          <w:lang w:val="nl-NL"/>
        </w:rPr>
        <w:t>Art. 5.244, eerste lid, 2° BW.</w:t>
      </w:r>
    </w:p>
  </w:footnote>
  <w:footnote w:id="56">
    <w:p w14:paraId="22AD50EA" w14:textId="77777777" w:rsidR="00BD18A3" w:rsidRPr="006436F2" w:rsidRDefault="00BD18A3" w:rsidP="00BD18A3">
      <w:pPr>
        <w:pStyle w:val="Voetnoottekst"/>
        <w:rPr>
          <w:sz w:val="16"/>
          <w:szCs w:val="16"/>
        </w:rPr>
      </w:pPr>
      <w:r>
        <w:rPr>
          <w:rStyle w:val="Voetnootmarkering"/>
        </w:rPr>
        <w:footnoteRef/>
      </w:r>
      <w:r w:rsidRPr="006436F2">
        <w:t xml:space="preserve"> </w:t>
      </w:r>
      <w:r w:rsidRPr="006436F2">
        <w:rPr>
          <w:sz w:val="16"/>
          <w:szCs w:val="16"/>
        </w:rPr>
        <w:t>Art. 5.149, tweede lid BW.</w:t>
      </w:r>
    </w:p>
  </w:footnote>
  <w:footnote w:id="57">
    <w:p w14:paraId="6E05EF75" w14:textId="77777777" w:rsidR="00BD18A3" w:rsidRPr="006436F2" w:rsidRDefault="00BD18A3" w:rsidP="00BD18A3">
      <w:pPr>
        <w:pStyle w:val="Voetnoottekst"/>
        <w:rPr>
          <w:sz w:val="16"/>
        </w:rPr>
      </w:pPr>
      <w:r>
        <w:rPr>
          <w:rStyle w:val="Voetnootmarkering"/>
        </w:rPr>
        <w:footnoteRef/>
      </w:r>
      <w:r w:rsidRPr="006436F2">
        <w:t xml:space="preserve"> </w:t>
      </w:r>
      <w:r w:rsidRPr="006436F2">
        <w:rPr>
          <w:sz w:val="16"/>
        </w:rPr>
        <w:t>Art. 5.76 BW.</w:t>
      </w:r>
    </w:p>
  </w:footnote>
  <w:footnote w:id="58">
    <w:p w14:paraId="74C03C29" w14:textId="77777777" w:rsidR="00BD18A3" w:rsidRPr="00EB73D6" w:rsidRDefault="00BD18A3" w:rsidP="00BD18A3">
      <w:pPr>
        <w:pStyle w:val="Voetnoottekst"/>
        <w:rPr>
          <w:lang w:val="nl-NL"/>
        </w:rPr>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678.</w:t>
      </w:r>
    </w:p>
  </w:footnote>
  <w:footnote w:id="59">
    <w:p w14:paraId="0DD0D706" w14:textId="77777777" w:rsidR="00BD18A3" w:rsidRPr="001F4B43" w:rsidRDefault="00BD18A3" w:rsidP="00BD18A3">
      <w:pPr>
        <w:pStyle w:val="Voetnoottekst"/>
        <w:rPr>
          <w:i/>
          <w:iCs/>
          <w:sz w:val="16"/>
          <w:szCs w:val="16"/>
        </w:rPr>
      </w:pPr>
      <w:r>
        <w:rPr>
          <w:rStyle w:val="Voetnootmarkering"/>
        </w:rPr>
        <w:footnoteRef/>
      </w:r>
      <w:r w:rsidRPr="001F4B43">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678.</w:t>
      </w:r>
    </w:p>
  </w:footnote>
  <w:footnote w:id="60">
    <w:p w14:paraId="1FD5CAD6" w14:textId="77777777" w:rsidR="00BD18A3" w:rsidRPr="00197989" w:rsidRDefault="00BD18A3" w:rsidP="00BD18A3">
      <w:pPr>
        <w:pStyle w:val="Voetnoottekst"/>
        <w:rPr>
          <w:lang w:val="nl-NL"/>
        </w:rPr>
      </w:pPr>
      <w:r>
        <w:rPr>
          <w:rStyle w:val="Voetnootmarkering"/>
        </w:rPr>
        <w:footnoteRef/>
      </w:r>
      <w:r>
        <w:rPr>
          <w:sz w:val="16"/>
          <w:szCs w:val="16"/>
        </w:rPr>
        <w:t xml:space="preserve"> VLAAMSE OVERHEID, </w:t>
      </w:r>
      <w:r>
        <w:rPr>
          <w:i/>
          <w:iCs/>
          <w:sz w:val="16"/>
          <w:szCs w:val="16"/>
        </w:rPr>
        <w:t xml:space="preserve">Statistiek Vlaanderen, </w:t>
      </w:r>
      <w:hyperlink r:id="rId5" w:history="1">
        <w:r w:rsidRPr="006B79A5">
          <w:rPr>
            <w:rStyle w:val="Hyperlink"/>
            <w:sz w:val="16"/>
            <w:szCs w:val="16"/>
          </w:rPr>
          <w:t>https://www.vlaanderen.be/statistiek-vlaanderen/bevolking/echtscheidingen</w:t>
        </w:r>
      </w:hyperlink>
      <w:r>
        <w:rPr>
          <w:sz w:val="16"/>
          <w:szCs w:val="16"/>
        </w:rPr>
        <w:t xml:space="preserve"> (consultatie op 9 april 2024).</w:t>
      </w:r>
    </w:p>
  </w:footnote>
  <w:footnote w:id="61">
    <w:p w14:paraId="67D33C6C" w14:textId="77777777" w:rsidR="00BD18A3" w:rsidRPr="001F4B43" w:rsidRDefault="00BD18A3" w:rsidP="00BD18A3">
      <w:pPr>
        <w:pStyle w:val="Voetnoottekst"/>
        <w:rPr>
          <w:sz w:val="16"/>
          <w:szCs w:val="16"/>
          <w:lang w:val="en-US"/>
        </w:rPr>
      </w:pPr>
      <w:r>
        <w:rPr>
          <w:rStyle w:val="Voetnootmarkering"/>
        </w:rPr>
        <w:footnoteRef/>
      </w:r>
      <w:r w:rsidRPr="001F4B43">
        <w:rPr>
          <w:lang w:val="en-US"/>
        </w:rPr>
        <w:t xml:space="preserve"> </w:t>
      </w:r>
      <w:r w:rsidRPr="001F4B43">
        <w:rPr>
          <w:sz w:val="16"/>
          <w:szCs w:val="16"/>
          <w:lang w:val="en-US"/>
        </w:rPr>
        <w:t>Art. 146 oud BW.</w:t>
      </w:r>
    </w:p>
  </w:footnote>
  <w:footnote w:id="62">
    <w:p w14:paraId="2DC1DC6B" w14:textId="77777777" w:rsidR="00BD18A3" w:rsidRPr="00EE7D8C" w:rsidRDefault="00BD18A3" w:rsidP="00BD18A3">
      <w:pPr>
        <w:pStyle w:val="Voetnoottekst"/>
        <w:rPr>
          <w:lang w:val="en-US"/>
        </w:rPr>
      </w:pPr>
      <w:r>
        <w:rPr>
          <w:rStyle w:val="Voetnootmarkering"/>
        </w:rPr>
        <w:footnoteRef/>
      </w:r>
      <w:r w:rsidRPr="00EE7D8C">
        <w:rPr>
          <w:lang w:val="en-US"/>
        </w:rPr>
        <w:t xml:space="preserve"> </w:t>
      </w:r>
      <w:r w:rsidRPr="00EE7D8C">
        <w:rPr>
          <w:sz w:val="16"/>
          <w:szCs w:val="16"/>
          <w:lang w:val="en-US"/>
        </w:rPr>
        <w:t>Art. 144 oud B</w:t>
      </w:r>
      <w:r>
        <w:rPr>
          <w:sz w:val="16"/>
          <w:szCs w:val="16"/>
          <w:lang w:val="en-US"/>
        </w:rPr>
        <w:t>W.</w:t>
      </w:r>
    </w:p>
  </w:footnote>
  <w:footnote w:id="63">
    <w:p w14:paraId="0131BEE8" w14:textId="77777777" w:rsidR="00BD18A3" w:rsidRPr="00664742" w:rsidRDefault="00BD18A3" w:rsidP="00BD18A3">
      <w:pPr>
        <w:pStyle w:val="Voetnoottekst"/>
        <w:rPr>
          <w:sz w:val="16"/>
          <w:szCs w:val="16"/>
          <w:lang w:val="fr-BE"/>
        </w:rPr>
      </w:pPr>
      <w:r w:rsidRPr="00971D7B">
        <w:rPr>
          <w:rStyle w:val="Voetnootmarkering"/>
          <w:lang w:val="nl-NL"/>
        </w:rPr>
        <w:footnoteRef/>
      </w:r>
      <w:r w:rsidRPr="00664742">
        <w:rPr>
          <w:lang w:val="fr-BE"/>
        </w:rPr>
        <w:t xml:space="preserve"> </w:t>
      </w:r>
      <w:r w:rsidRPr="00664742">
        <w:rPr>
          <w:sz w:val="16"/>
          <w:szCs w:val="16"/>
          <w:lang w:val="fr-BE"/>
        </w:rPr>
        <w:t>Art. 145 oud BW.</w:t>
      </w:r>
    </w:p>
  </w:footnote>
  <w:footnote w:id="64">
    <w:p w14:paraId="6C756913" w14:textId="77777777" w:rsidR="00BD18A3" w:rsidRPr="00664742" w:rsidRDefault="00BD18A3" w:rsidP="00BD18A3">
      <w:pPr>
        <w:pStyle w:val="Voetnoottekst"/>
        <w:rPr>
          <w:sz w:val="16"/>
          <w:szCs w:val="16"/>
          <w:lang w:val="fr-BE"/>
        </w:rPr>
      </w:pPr>
      <w:r w:rsidRPr="00971D7B">
        <w:rPr>
          <w:rStyle w:val="Voetnootmarkering"/>
          <w:lang w:val="nl-NL"/>
        </w:rPr>
        <w:footnoteRef/>
      </w:r>
      <w:r w:rsidRPr="00664742">
        <w:rPr>
          <w:lang w:val="fr-BE"/>
        </w:rPr>
        <w:t xml:space="preserve"> </w:t>
      </w:r>
      <w:r w:rsidRPr="00664742">
        <w:rPr>
          <w:sz w:val="16"/>
          <w:szCs w:val="16"/>
          <w:lang w:val="fr-BE"/>
        </w:rPr>
        <w:t>Y.</w:t>
      </w:r>
      <w:r>
        <w:rPr>
          <w:sz w:val="16"/>
          <w:szCs w:val="16"/>
          <w:lang w:val="fr-BE"/>
        </w:rPr>
        <w:t>-H.</w:t>
      </w:r>
      <w:r w:rsidRPr="00664742">
        <w:rPr>
          <w:sz w:val="16"/>
          <w:szCs w:val="16"/>
          <w:lang w:val="fr-BE"/>
        </w:rPr>
        <w:t xml:space="preserve"> LELEU, </w:t>
      </w:r>
      <w:r w:rsidRPr="00664742">
        <w:rPr>
          <w:i/>
          <w:iCs/>
          <w:sz w:val="16"/>
          <w:szCs w:val="16"/>
          <w:lang w:val="fr-BE"/>
        </w:rPr>
        <w:t>Droit des personnes et des familles,</w:t>
      </w:r>
      <w:r w:rsidRPr="00664742">
        <w:rPr>
          <w:sz w:val="16"/>
          <w:szCs w:val="16"/>
          <w:lang w:val="fr-BE"/>
        </w:rPr>
        <w:t xml:space="preserve"> Brussel, Larcier, 2020, 321-338.</w:t>
      </w:r>
    </w:p>
  </w:footnote>
  <w:footnote w:id="65">
    <w:p w14:paraId="6F4CF0D7" w14:textId="77777777" w:rsidR="00BD18A3" w:rsidRDefault="00BD18A3" w:rsidP="00BD18A3">
      <w:pPr>
        <w:pStyle w:val="Voetnoottekst"/>
        <w:rPr>
          <w:sz w:val="16"/>
          <w:szCs w:val="16"/>
        </w:rPr>
      </w:pPr>
      <w:r>
        <w:rPr>
          <w:rStyle w:val="Voetnootmarkering"/>
        </w:rPr>
        <w:footnoteRef/>
      </w:r>
      <w:r w:rsidRPr="000D79C4">
        <w:t xml:space="preserve"> </w:t>
      </w:r>
      <w:r w:rsidRPr="000D79C4">
        <w:rPr>
          <w:sz w:val="16"/>
          <w:szCs w:val="16"/>
        </w:rPr>
        <w:t>Art. 1475 oud BW.</w:t>
      </w:r>
    </w:p>
    <w:p w14:paraId="75C065E8" w14:textId="77777777" w:rsidR="00BD18A3" w:rsidRPr="000D79C4" w:rsidRDefault="00BD18A3" w:rsidP="00BD18A3">
      <w:pPr>
        <w:pStyle w:val="Voetnoottekst"/>
        <w:rPr>
          <w:sz w:val="16"/>
          <w:szCs w:val="16"/>
        </w:rPr>
      </w:pPr>
    </w:p>
  </w:footnote>
  <w:footnote w:id="66">
    <w:p w14:paraId="71127495" w14:textId="77777777" w:rsidR="00BD18A3" w:rsidRPr="005F6AC7" w:rsidRDefault="00BD18A3" w:rsidP="00BD18A3">
      <w:pPr>
        <w:pStyle w:val="Voetnoottekst"/>
        <w:rPr>
          <w:lang w:val="nl-NL"/>
        </w:rPr>
      </w:pPr>
      <w:r>
        <w:rPr>
          <w:rStyle w:val="Voetnootmarkering"/>
        </w:rPr>
        <w:footnoteRef/>
      </w:r>
      <w:r>
        <w:t xml:space="preserve"> </w:t>
      </w:r>
      <w:r w:rsidRPr="00CE472A">
        <w:rPr>
          <w:sz w:val="16"/>
          <w:szCs w:val="16"/>
        </w:rPr>
        <w:t xml:space="preserve">I. BOONE, J. DU MONGH en A.-L. </w:t>
      </w:r>
      <w:r>
        <w:rPr>
          <w:sz w:val="16"/>
          <w:szCs w:val="16"/>
        </w:rPr>
        <w:t>VERBEKE,</w:t>
      </w:r>
      <w:r>
        <w:rPr>
          <w:i/>
          <w:iCs/>
          <w:sz w:val="16"/>
          <w:szCs w:val="16"/>
        </w:rPr>
        <w:t xml:space="preserve"> Personen-, familie- en relatievermogensrecht, </w:t>
      </w:r>
      <w:r>
        <w:rPr>
          <w:sz w:val="16"/>
          <w:szCs w:val="16"/>
        </w:rPr>
        <w:t xml:space="preserve">Leuven, Acco, 2020, 1143; </w:t>
      </w:r>
      <w:r>
        <w:rPr>
          <w:sz w:val="16"/>
          <w:szCs w:val="21"/>
        </w:rPr>
        <w:t>S.</w:t>
      </w:r>
      <w:r w:rsidRPr="000E1B46">
        <w:rPr>
          <w:sz w:val="16"/>
          <w:szCs w:val="21"/>
        </w:rPr>
        <w:t xml:space="preserve"> EGGERMONT</w:t>
      </w:r>
      <w:r>
        <w:rPr>
          <w:sz w:val="16"/>
          <w:szCs w:val="21"/>
        </w:rPr>
        <w:t>,</w:t>
      </w:r>
      <w:r w:rsidRPr="00CC1B81">
        <w:rPr>
          <w:sz w:val="16"/>
          <w:szCs w:val="21"/>
          <w:lang w:val="nl-NL"/>
        </w:rPr>
        <w:t xml:space="preserve"> </w:t>
      </w:r>
      <w:r w:rsidRPr="00CC1B81">
        <w:rPr>
          <w:i/>
          <w:iCs/>
          <w:sz w:val="16"/>
          <w:szCs w:val="21"/>
          <w:lang w:val="nl-NL"/>
        </w:rPr>
        <w:t>Tweerelaties: huwelijk, wettelijke samenwoning en feitelijke samenwoning juridisch</w:t>
      </w:r>
      <w:r>
        <w:rPr>
          <w:i/>
          <w:iCs/>
          <w:sz w:val="16"/>
          <w:szCs w:val="21"/>
          <w:lang w:val="nl-NL"/>
        </w:rPr>
        <w:t xml:space="preserve"> </w:t>
      </w:r>
      <w:r w:rsidRPr="00CC1B81">
        <w:rPr>
          <w:i/>
          <w:iCs/>
          <w:sz w:val="16"/>
          <w:szCs w:val="21"/>
          <w:lang w:val="nl-NL"/>
        </w:rPr>
        <w:t xml:space="preserve">ontleed, </w:t>
      </w:r>
      <w:r w:rsidRPr="00CC1B81">
        <w:rPr>
          <w:sz w:val="16"/>
          <w:szCs w:val="21"/>
          <w:lang w:val="nl-NL"/>
        </w:rPr>
        <w:t>Antwerpen, Intersentia, 2016,</w:t>
      </w:r>
      <w:r>
        <w:rPr>
          <w:sz w:val="16"/>
          <w:szCs w:val="21"/>
          <w:lang w:val="nl-NL"/>
        </w:rPr>
        <w:t xml:space="preserve"> 86; </w:t>
      </w:r>
      <w:r w:rsidRPr="00971D7B">
        <w:rPr>
          <w:sz w:val="16"/>
          <w:szCs w:val="16"/>
          <w:lang w:val="nl-NL"/>
        </w:rPr>
        <w:t xml:space="preserve">F. SWENNEN, </w:t>
      </w:r>
      <w:r w:rsidRPr="00971D7B">
        <w:rPr>
          <w:i/>
          <w:iCs/>
          <w:sz w:val="16"/>
          <w:szCs w:val="16"/>
          <w:lang w:val="nl-NL"/>
        </w:rPr>
        <w:t>Het personen-</w:t>
      </w:r>
      <w:r>
        <w:rPr>
          <w:i/>
          <w:iCs/>
          <w:sz w:val="16"/>
          <w:szCs w:val="16"/>
          <w:lang w:val="nl-NL"/>
        </w:rPr>
        <w:t xml:space="preserve"> </w:t>
      </w:r>
      <w:r w:rsidRPr="00971D7B">
        <w:rPr>
          <w:i/>
          <w:iCs/>
          <w:sz w:val="16"/>
          <w:szCs w:val="16"/>
          <w:lang w:val="nl-NL"/>
        </w:rPr>
        <w:t xml:space="preserve">en </w:t>
      </w:r>
      <w:r>
        <w:rPr>
          <w:i/>
          <w:iCs/>
          <w:sz w:val="16"/>
          <w:szCs w:val="16"/>
          <w:lang w:val="nl-NL"/>
        </w:rPr>
        <w:t>f</w:t>
      </w:r>
      <w:r w:rsidRPr="00971D7B">
        <w:rPr>
          <w:i/>
          <w:iCs/>
          <w:sz w:val="16"/>
          <w:szCs w:val="16"/>
          <w:lang w:val="nl-NL"/>
        </w:rPr>
        <w:t xml:space="preserve">amilierecht, </w:t>
      </w:r>
      <w:r w:rsidRPr="00971D7B">
        <w:rPr>
          <w:sz w:val="16"/>
          <w:szCs w:val="16"/>
          <w:lang w:val="nl-NL"/>
        </w:rPr>
        <w:t>Antwerpen, Intersentia, 202</w:t>
      </w:r>
      <w:r>
        <w:rPr>
          <w:sz w:val="16"/>
          <w:szCs w:val="16"/>
          <w:lang w:val="nl-NL"/>
        </w:rPr>
        <w:t>3</w:t>
      </w:r>
      <w:r w:rsidRPr="00971D7B">
        <w:rPr>
          <w:sz w:val="16"/>
          <w:szCs w:val="16"/>
          <w:lang w:val="nl-NL"/>
        </w:rPr>
        <w:t xml:space="preserve">, </w:t>
      </w:r>
      <w:r>
        <w:rPr>
          <w:sz w:val="16"/>
          <w:szCs w:val="16"/>
          <w:lang w:val="nl-NL"/>
        </w:rPr>
        <w:t xml:space="preserve">397-398; </w:t>
      </w:r>
      <w:r>
        <w:rPr>
          <w:sz w:val="16"/>
          <w:szCs w:val="16"/>
        </w:rPr>
        <w:t xml:space="preserve">G. VERSCHELDEN, </w:t>
      </w:r>
      <w:r>
        <w:rPr>
          <w:i/>
          <w:iCs/>
          <w:sz w:val="16"/>
          <w:szCs w:val="16"/>
        </w:rPr>
        <w:t xml:space="preserve">Handboek Belgisch Personen-, familie- en relatievermogensrecht, </w:t>
      </w:r>
      <w:r>
        <w:rPr>
          <w:sz w:val="16"/>
          <w:szCs w:val="16"/>
        </w:rPr>
        <w:t>Brugge, die Keure, 2023, 1115-1116.</w:t>
      </w:r>
    </w:p>
  </w:footnote>
  <w:footnote w:id="67">
    <w:p w14:paraId="6C0F6958" w14:textId="77777777" w:rsidR="00BD18A3" w:rsidRPr="00751F97" w:rsidRDefault="00BD18A3" w:rsidP="00BD18A3">
      <w:pPr>
        <w:pStyle w:val="Voetnoottekst"/>
        <w:rPr>
          <w:lang w:val="nl-NL"/>
        </w:rPr>
      </w:pPr>
      <w:r>
        <w:rPr>
          <w:rStyle w:val="Voetnootmarkering"/>
        </w:rPr>
        <w:footnoteRef/>
      </w:r>
      <w:r>
        <w:t xml:space="preserve"> </w:t>
      </w:r>
      <w:r>
        <w:rPr>
          <w:sz w:val="16"/>
          <w:szCs w:val="16"/>
          <w:lang w:val="nl-NL"/>
        </w:rPr>
        <w:t xml:space="preserve">Art. 1476, § 1, eerste lid en tweede lid, 3° oud BW; </w:t>
      </w:r>
      <w:r>
        <w:rPr>
          <w:sz w:val="16"/>
          <w:szCs w:val="16"/>
        </w:rPr>
        <w:t xml:space="preserve">Gent 23 mei 2019. </w:t>
      </w:r>
      <w:r>
        <w:rPr>
          <w:i/>
          <w:iCs/>
          <w:sz w:val="16"/>
          <w:szCs w:val="16"/>
        </w:rPr>
        <w:t xml:space="preserve">T.Not. </w:t>
      </w:r>
      <w:r>
        <w:rPr>
          <w:sz w:val="16"/>
          <w:szCs w:val="16"/>
        </w:rPr>
        <w:t xml:space="preserve">2019, 834 en </w:t>
      </w:r>
      <w:r>
        <w:rPr>
          <w:i/>
          <w:iCs/>
          <w:sz w:val="16"/>
          <w:szCs w:val="16"/>
        </w:rPr>
        <w:t xml:space="preserve">TEP </w:t>
      </w:r>
      <w:r>
        <w:rPr>
          <w:sz w:val="16"/>
          <w:szCs w:val="16"/>
        </w:rPr>
        <w:t xml:space="preserve">2019, 777; E. DE KEZEL, “De wet tot invoering van de wettelijke samenwoning: een maat voor niets?”, </w:t>
      </w:r>
      <w:r w:rsidRPr="002728D0">
        <w:rPr>
          <w:i/>
          <w:iCs/>
          <w:sz w:val="16"/>
          <w:szCs w:val="16"/>
        </w:rPr>
        <w:t>AJT</w:t>
      </w:r>
      <w:r>
        <w:rPr>
          <w:sz w:val="16"/>
          <w:szCs w:val="16"/>
        </w:rPr>
        <w:t xml:space="preserve"> 1999, (129) 134; </w:t>
      </w:r>
      <w:r w:rsidRPr="00971D7B">
        <w:rPr>
          <w:sz w:val="16"/>
          <w:szCs w:val="16"/>
          <w:lang w:val="nl-NL"/>
        </w:rPr>
        <w:t xml:space="preserve">F. SWENNEN, </w:t>
      </w:r>
      <w:r w:rsidRPr="00971D7B">
        <w:rPr>
          <w:i/>
          <w:iCs/>
          <w:sz w:val="16"/>
          <w:szCs w:val="16"/>
          <w:lang w:val="nl-NL"/>
        </w:rPr>
        <w:t>Het personen-</w:t>
      </w:r>
      <w:r>
        <w:rPr>
          <w:i/>
          <w:iCs/>
          <w:sz w:val="16"/>
          <w:szCs w:val="16"/>
          <w:lang w:val="nl-NL"/>
        </w:rPr>
        <w:t xml:space="preserve"> </w:t>
      </w:r>
      <w:r w:rsidRPr="00971D7B">
        <w:rPr>
          <w:i/>
          <w:iCs/>
          <w:sz w:val="16"/>
          <w:szCs w:val="16"/>
          <w:lang w:val="nl-NL"/>
        </w:rPr>
        <w:t xml:space="preserve">en </w:t>
      </w:r>
      <w:r>
        <w:rPr>
          <w:i/>
          <w:iCs/>
          <w:sz w:val="16"/>
          <w:szCs w:val="16"/>
          <w:lang w:val="nl-NL"/>
        </w:rPr>
        <w:t>f</w:t>
      </w:r>
      <w:r w:rsidRPr="00971D7B">
        <w:rPr>
          <w:i/>
          <w:iCs/>
          <w:sz w:val="16"/>
          <w:szCs w:val="16"/>
          <w:lang w:val="nl-NL"/>
        </w:rPr>
        <w:t xml:space="preserve">amilierecht, </w:t>
      </w:r>
      <w:r w:rsidRPr="00971D7B">
        <w:rPr>
          <w:sz w:val="16"/>
          <w:szCs w:val="16"/>
          <w:lang w:val="nl-NL"/>
        </w:rPr>
        <w:t>Antwerpen, Intersentia, 202</w:t>
      </w:r>
      <w:r>
        <w:rPr>
          <w:sz w:val="16"/>
          <w:szCs w:val="16"/>
          <w:lang w:val="nl-NL"/>
        </w:rPr>
        <w:t>3</w:t>
      </w:r>
      <w:r w:rsidRPr="00971D7B">
        <w:rPr>
          <w:sz w:val="16"/>
          <w:szCs w:val="16"/>
          <w:lang w:val="nl-NL"/>
        </w:rPr>
        <w:t xml:space="preserve">, </w:t>
      </w:r>
      <w:r>
        <w:rPr>
          <w:sz w:val="16"/>
          <w:szCs w:val="16"/>
          <w:lang w:val="nl-NL"/>
        </w:rPr>
        <w:t xml:space="preserve">399; </w:t>
      </w:r>
      <w:r>
        <w:rPr>
          <w:sz w:val="16"/>
          <w:szCs w:val="16"/>
        </w:rPr>
        <w:t xml:space="preserve">G. VERSCHELDEN, </w:t>
      </w:r>
      <w:r>
        <w:rPr>
          <w:i/>
          <w:iCs/>
          <w:sz w:val="16"/>
          <w:szCs w:val="16"/>
        </w:rPr>
        <w:t xml:space="preserve">Handboek Belgisch Personen-, familie- en relatievermogensrecht, </w:t>
      </w:r>
      <w:r>
        <w:rPr>
          <w:sz w:val="16"/>
          <w:szCs w:val="16"/>
        </w:rPr>
        <w:t>Brugge, die Keure, 2023, 1116-1117.</w:t>
      </w:r>
    </w:p>
  </w:footnote>
  <w:footnote w:id="68">
    <w:p w14:paraId="2649407E" w14:textId="77777777" w:rsidR="00BD18A3" w:rsidRPr="00601342" w:rsidRDefault="00BD18A3" w:rsidP="00BD18A3">
      <w:pPr>
        <w:pStyle w:val="Voetnoottekst"/>
        <w:rPr>
          <w:sz w:val="16"/>
          <w:szCs w:val="16"/>
        </w:rPr>
      </w:pPr>
      <w:r>
        <w:rPr>
          <w:rStyle w:val="Voetnootmarkering"/>
        </w:rPr>
        <w:footnoteRef/>
      </w:r>
      <w:r>
        <w:t xml:space="preserve"> </w:t>
      </w:r>
      <w:r>
        <w:rPr>
          <w:sz w:val="16"/>
          <w:szCs w:val="16"/>
        </w:rPr>
        <w:t xml:space="preserve">Verslag namens de Commissie voor de Justitie, </w:t>
      </w:r>
      <w:r>
        <w:rPr>
          <w:i/>
          <w:iCs/>
          <w:sz w:val="16"/>
          <w:szCs w:val="16"/>
        </w:rPr>
        <w:t xml:space="preserve">Parl.St. </w:t>
      </w:r>
      <w:r>
        <w:rPr>
          <w:sz w:val="16"/>
          <w:szCs w:val="16"/>
        </w:rPr>
        <w:t xml:space="preserve">Senaat 1997-98, nr 1-916/5, 10-11; G. VERSCHELDEN, </w:t>
      </w:r>
      <w:r>
        <w:rPr>
          <w:i/>
          <w:iCs/>
          <w:sz w:val="16"/>
          <w:szCs w:val="16"/>
        </w:rPr>
        <w:t xml:space="preserve">Handboek Belgisch Personen-, familie- en relatievermogensrecht, </w:t>
      </w:r>
      <w:r>
        <w:rPr>
          <w:sz w:val="16"/>
          <w:szCs w:val="16"/>
        </w:rPr>
        <w:t>Brugge, die Keure, 2023, 1116-1117.</w:t>
      </w:r>
    </w:p>
  </w:footnote>
  <w:footnote w:id="69">
    <w:p w14:paraId="633BEE6C" w14:textId="77777777" w:rsidR="00BD18A3" w:rsidRPr="0050328F" w:rsidRDefault="00BD18A3" w:rsidP="00BD18A3">
      <w:pPr>
        <w:pStyle w:val="Voetnoottekst"/>
        <w:rPr>
          <w:sz w:val="16"/>
          <w:szCs w:val="16"/>
          <w:lang w:val="en-US"/>
        </w:rPr>
      </w:pPr>
      <w:r>
        <w:rPr>
          <w:rStyle w:val="Voetnootmarkering"/>
        </w:rPr>
        <w:footnoteRef/>
      </w:r>
      <w:r w:rsidRPr="0050328F">
        <w:rPr>
          <w:lang w:val="en-US"/>
        </w:rPr>
        <w:t xml:space="preserve"> </w:t>
      </w:r>
      <w:r w:rsidRPr="0050328F">
        <w:rPr>
          <w:sz w:val="16"/>
          <w:szCs w:val="16"/>
          <w:lang w:val="en-US"/>
        </w:rPr>
        <w:t>J. SOSSON, “Les effets per</w:t>
      </w:r>
      <w:r>
        <w:rPr>
          <w:sz w:val="16"/>
          <w:szCs w:val="16"/>
          <w:lang w:val="en-US"/>
        </w:rPr>
        <w:t xml:space="preserve">sonnels” in J. HAUSER en J.-L. RENCHON (eds.), </w:t>
      </w:r>
      <w:r>
        <w:rPr>
          <w:i/>
          <w:iCs/>
          <w:sz w:val="16"/>
          <w:szCs w:val="16"/>
          <w:lang w:val="en-US"/>
        </w:rPr>
        <w:t xml:space="preserve">Différenciation ou convergence des statuts juridiques du couple marié et du couple non marié, Droit belge et français, </w:t>
      </w:r>
      <w:r>
        <w:rPr>
          <w:sz w:val="16"/>
          <w:szCs w:val="16"/>
          <w:lang w:val="en-US"/>
        </w:rPr>
        <w:t xml:space="preserve">Brussel, Bruylant, 2005, (37) 44-45; F. TAINMONT, “Les effets à la dissolution du statut par décès” in J. HAUSER en J.-L. RENCHON (eds.), </w:t>
      </w:r>
      <w:r>
        <w:rPr>
          <w:i/>
          <w:iCs/>
          <w:sz w:val="16"/>
          <w:szCs w:val="16"/>
          <w:lang w:val="en-US"/>
        </w:rPr>
        <w:t xml:space="preserve">Le statut juridique du couple marié et du couple non marié en droit belge et français, I, Les statuts légaux des couples, </w:t>
      </w:r>
      <w:r>
        <w:rPr>
          <w:sz w:val="16"/>
          <w:szCs w:val="16"/>
          <w:lang w:val="en-US"/>
        </w:rPr>
        <w:t>Brussel, Larcier, 2012, (273) 304.</w:t>
      </w:r>
    </w:p>
  </w:footnote>
  <w:footnote w:id="70">
    <w:p w14:paraId="0D369E79" w14:textId="77777777" w:rsidR="00BD18A3" w:rsidRPr="00EA0890" w:rsidRDefault="00BD18A3" w:rsidP="00BD18A3">
      <w:pPr>
        <w:spacing w:line="240" w:lineRule="auto"/>
        <w:rPr>
          <w:sz w:val="16"/>
          <w:szCs w:val="21"/>
          <w:lang w:val="nl-NL"/>
        </w:rPr>
      </w:pPr>
      <w:r>
        <w:rPr>
          <w:rStyle w:val="Voetnootmarkering"/>
        </w:rPr>
        <w:footnoteRef/>
      </w:r>
      <w:r>
        <w:t xml:space="preserve"> </w:t>
      </w:r>
      <w:r w:rsidRPr="00EA0890">
        <w:rPr>
          <w:sz w:val="16"/>
          <w:szCs w:val="21"/>
          <w:lang w:val="nl-NL"/>
        </w:rPr>
        <w:t xml:space="preserve">R. BARBAIX, </w:t>
      </w:r>
      <w:r w:rsidRPr="00EA0890">
        <w:rPr>
          <w:i/>
          <w:iCs/>
          <w:sz w:val="16"/>
          <w:szCs w:val="21"/>
          <w:lang w:val="nl-NL"/>
        </w:rPr>
        <w:t>Handboek familiaal vermogensrecht</w:t>
      </w:r>
      <w:r w:rsidRPr="00EA0890">
        <w:rPr>
          <w:sz w:val="16"/>
          <w:szCs w:val="21"/>
          <w:lang w:val="nl-NL"/>
        </w:rPr>
        <w:t>, Antwerpen, Intersentia, 2018, 5-6, nr. 3</w:t>
      </w:r>
      <w:r>
        <w:rPr>
          <w:sz w:val="16"/>
          <w:szCs w:val="21"/>
          <w:lang w:val="nl-NL"/>
        </w:rPr>
        <w:t xml:space="preserve">; </w:t>
      </w:r>
      <w:r w:rsidRPr="00EA0890">
        <w:rPr>
          <w:sz w:val="16"/>
          <w:szCs w:val="21"/>
          <w:lang w:val="nl-NL"/>
        </w:rPr>
        <w:t>A.-C. VAN GYSEL,</w:t>
      </w:r>
      <w:r>
        <w:rPr>
          <w:sz w:val="16"/>
          <w:szCs w:val="21"/>
          <w:lang w:val="nl-NL"/>
        </w:rPr>
        <w:t xml:space="preserve"> “</w:t>
      </w:r>
      <w:r w:rsidRPr="00EA0890">
        <w:rPr>
          <w:sz w:val="16"/>
          <w:szCs w:val="21"/>
          <w:lang w:val="nl-NL"/>
        </w:rPr>
        <w:t>La cohabitation légale: quo vadis?</w:t>
      </w:r>
      <w:r>
        <w:rPr>
          <w:sz w:val="16"/>
          <w:szCs w:val="21"/>
          <w:lang w:val="nl-NL"/>
        </w:rPr>
        <w:t>”</w:t>
      </w:r>
      <w:r w:rsidRPr="00EA0890">
        <w:rPr>
          <w:sz w:val="16"/>
          <w:szCs w:val="21"/>
          <w:lang w:val="nl-NL"/>
        </w:rPr>
        <w:t xml:space="preserve">, </w:t>
      </w:r>
      <w:r w:rsidRPr="00EA0890">
        <w:rPr>
          <w:i/>
          <w:iCs/>
          <w:sz w:val="16"/>
          <w:szCs w:val="21"/>
          <w:lang w:val="nl-NL"/>
        </w:rPr>
        <w:t>RTDF</w:t>
      </w:r>
      <w:r w:rsidRPr="00EA0890">
        <w:rPr>
          <w:sz w:val="16"/>
          <w:szCs w:val="21"/>
          <w:lang w:val="nl-NL"/>
        </w:rPr>
        <w:t xml:space="preserve"> 2015, (9) 24. </w:t>
      </w:r>
    </w:p>
  </w:footnote>
  <w:footnote w:id="71">
    <w:p w14:paraId="036A3764" w14:textId="77777777" w:rsidR="00BD18A3" w:rsidRPr="009C6B0C"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479-481.</w:t>
      </w:r>
    </w:p>
  </w:footnote>
  <w:footnote w:id="72">
    <w:p w14:paraId="1CDBA9FB" w14:textId="77777777" w:rsidR="00BD18A3" w:rsidRPr="007E5CCD"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489-491.</w:t>
      </w:r>
    </w:p>
  </w:footnote>
  <w:footnote w:id="73">
    <w:p w14:paraId="3214D3EE" w14:textId="77777777" w:rsidR="00BD18A3" w:rsidRPr="00AD0098"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 xml:space="preserve">Leuven, Acco, 2022, 479 en 490; G. VERSCHELDEN, </w:t>
      </w:r>
      <w:r>
        <w:rPr>
          <w:i/>
          <w:iCs/>
          <w:sz w:val="16"/>
          <w:szCs w:val="16"/>
        </w:rPr>
        <w:t xml:space="preserve">Handboek Belgisch Personen-, familie- en relatievermogensrecht, </w:t>
      </w:r>
      <w:r>
        <w:rPr>
          <w:sz w:val="16"/>
          <w:szCs w:val="16"/>
        </w:rPr>
        <w:t>Brugge, die Keure, 2023, 609 en 1109.</w:t>
      </w:r>
    </w:p>
  </w:footnote>
  <w:footnote w:id="74">
    <w:p w14:paraId="641331D1" w14:textId="77777777" w:rsidR="00BD18A3" w:rsidRPr="005C4C4E" w:rsidRDefault="00BD18A3" w:rsidP="00BD18A3">
      <w:pPr>
        <w:pStyle w:val="Voetnoottekst"/>
        <w:rPr>
          <w:sz w:val="16"/>
          <w:szCs w:val="16"/>
        </w:rPr>
      </w:pPr>
      <w:r>
        <w:rPr>
          <w:rStyle w:val="Voetnootmarkering"/>
        </w:rPr>
        <w:footnoteRef/>
      </w:r>
      <w:r>
        <w:t xml:space="preserve"> </w:t>
      </w:r>
      <w:r w:rsidRPr="00177EF2">
        <w:rPr>
          <w:sz w:val="16"/>
          <w:szCs w:val="16"/>
        </w:rPr>
        <w:t>Art. 213 oud BW</w:t>
      </w:r>
      <w:r>
        <w:rPr>
          <w:sz w:val="16"/>
          <w:szCs w:val="16"/>
        </w:rPr>
        <w:t xml:space="preserve">; </w:t>
      </w:r>
      <w:r w:rsidRPr="00177EF2">
        <w:rPr>
          <w:sz w:val="16"/>
          <w:szCs w:val="16"/>
        </w:rPr>
        <w:t>I. BOONE, J. DU MONGH en A</w:t>
      </w:r>
      <w:r>
        <w:rPr>
          <w:sz w:val="16"/>
          <w:szCs w:val="16"/>
        </w:rPr>
        <w:t>.</w:t>
      </w:r>
      <w:r w:rsidRPr="00177EF2">
        <w:rPr>
          <w:sz w:val="16"/>
          <w:szCs w:val="16"/>
        </w:rPr>
        <w:t xml:space="preserve">-L. </w:t>
      </w:r>
      <w:r>
        <w:rPr>
          <w:sz w:val="16"/>
          <w:szCs w:val="16"/>
        </w:rPr>
        <w:t>VERBEKE,</w:t>
      </w:r>
      <w:r>
        <w:rPr>
          <w:i/>
          <w:iCs/>
          <w:sz w:val="16"/>
          <w:szCs w:val="16"/>
        </w:rPr>
        <w:t xml:space="preserve"> Personen-, familie- en relatievermogensrecht, </w:t>
      </w:r>
      <w:r>
        <w:rPr>
          <w:sz w:val="16"/>
          <w:szCs w:val="16"/>
        </w:rPr>
        <w:t xml:space="preserve">Leuven, Acco, 2020, 172;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w:t>
      </w:r>
    </w:p>
  </w:footnote>
  <w:footnote w:id="75">
    <w:p w14:paraId="4F6B0F64" w14:textId="77777777" w:rsidR="00BD18A3" w:rsidRPr="006F3BC5"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490.</w:t>
      </w:r>
    </w:p>
  </w:footnote>
  <w:footnote w:id="76">
    <w:p w14:paraId="593A61D1" w14:textId="77777777" w:rsidR="00BD18A3" w:rsidRPr="00AD5E34"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w:t>
      </w:r>
    </w:p>
  </w:footnote>
  <w:footnote w:id="77">
    <w:p w14:paraId="2FC77DBF" w14:textId="77777777" w:rsidR="00BD18A3" w:rsidRPr="000933DC"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w:t>
      </w:r>
    </w:p>
  </w:footnote>
  <w:footnote w:id="78">
    <w:p w14:paraId="132FD4AB" w14:textId="77777777" w:rsidR="00BD18A3" w:rsidRPr="00E67BBF" w:rsidRDefault="00BD18A3" w:rsidP="00BD18A3">
      <w:pPr>
        <w:pStyle w:val="Voetnoottekst"/>
        <w:rPr>
          <w:sz w:val="16"/>
          <w:szCs w:val="16"/>
        </w:rPr>
      </w:pPr>
      <w:r>
        <w:rPr>
          <w:rStyle w:val="Voetnootmarkering"/>
        </w:rPr>
        <w:footnoteRef/>
      </w:r>
      <w:r w:rsidRPr="00CE472A">
        <w:t xml:space="preserve"> </w:t>
      </w:r>
      <w:r w:rsidRPr="00CE472A">
        <w:rPr>
          <w:sz w:val="16"/>
          <w:szCs w:val="16"/>
        </w:rPr>
        <w:t>Art. 146</w:t>
      </w:r>
      <w:r w:rsidRPr="00CE472A">
        <w:rPr>
          <w:i/>
          <w:iCs/>
          <w:sz w:val="16"/>
          <w:szCs w:val="16"/>
        </w:rPr>
        <w:t xml:space="preserve">bis </w:t>
      </w:r>
      <w:r w:rsidRPr="00CE472A">
        <w:rPr>
          <w:sz w:val="16"/>
          <w:szCs w:val="16"/>
        </w:rPr>
        <w:t xml:space="preserve">oud BW; I. BOONE, J. DU MONGH en A.-L. </w:t>
      </w:r>
      <w:r>
        <w:rPr>
          <w:sz w:val="16"/>
          <w:szCs w:val="16"/>
        </w:rPr>
        <w:t>VERBEKE,</w:t>
      </w:r>
      <w:r>
        <w:rPr>
          <w:i/>
          <w:iCs/>
          <w:sz w:val="16"/>
          <w:szCs w:val="16"/>
        </w:rPr>
        <w:t xml:space="preserve"> Personen-, familie- en relatievermogensrecht, </w:t>
      </w:r>
      <w:r>
        <w:rPr>
          <w:sz w:val="16"/>
          <w:szCs w:val="16"/>
        </w:rPr>
        <w:t xml:space="preserve">Leuven, Acco, 2020, 172;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 xml:space="preserve">Leuven, Acco, 2022, 480 en 490;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276-278.</w:t>
      </w:r>
    </w:p>
  </w:footnote>
  <w:footnote w:id="79">
    <w:p w14:paraId="2CFE5427" w14:textId="77777777" w:rsidR="00BD18A3" w:rsidRPr="00ED121D" w:rsidRDefault="00BD18A3" w:rsidP="00BD18A3">
      <w:pPr>
        <w:pStyle w:val="Voetnoottekst"/>
        <w:rPr>
          <w:i/>
          <w:iCs/>
          <w:sz w:val="16"/>
          <w:szCs w:val="16"/>
        </w:rPr>
      </w:pPr>
      <w:r>
        <w:rPr>
          <w:rStyle w:val="Voetnootmarkering"/>
        </w:rPr>
        <w:footnoteRef/>
      </w:r>
      <w:r w:rsidRPr="00DF0B13">
        <w:t xml:space="preserve"> </w:t>
      </w:r>
      <w:r w:rsidRPr="00DF0B13">
        <w:rPr>
          <w:i/>
          <w:iCs/>
          <w:sz w:val="16"/>
          <w:szCs w:val="16"/>
        </w:rPr>
        <w:t>Ibid.</w:t>
      </w:r>
    </w:p>
  </w:footnote>
  <w:footnote w:id="80">
    <w:p w14:paraId="33EF2034" w14:textId="77777777" w:rsidR="00BD18A3" w:rsidRPr="00ED121D" w:rsidRDefault="00BD18A3" w:rsidP="00BD18A3">
      <w:pPr>
        <w:pStyle w:val="Voetnoottekst"/>
        <w:rPr>
          <w:i/>
          <w:iCs/>
        </w:rPr>
      </w:pPr>
      <w:r>
        <w:rPr>
          <w:rStyle w:val="Voetnootmarkering"/>
        </w:rPr>
        <w:footnoteRef/>
      </w:r>
      <w:r w:rsidRPr="002B64E4">
        <w:t xml:space="preserve"> </w:t>
      </w:r>
      <w:r>
        <w:rPr>
          <w:i/>
          <w:iCs/>
          <w:sz w:val="16"/>
          <w:szCs w:val="16"/>
        </w:rPr>
        <w:t>Ibid.</w:t>
      </w:r>
    </w:p>
  </w:footnote>
  <w:footnote w:id="81">
    <w:p w14:paraId="77B34207" w14:textId="77777777" w:rsidR="00BD18A3" w:rsidRPr="008C79CA"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w:t>
      </w:r>
    </w:p>
  </w:footnote>
  <w:footnote w:id="82">
    <w:p w14:paraId="32F91043" w14:textId="77777777" w:rsidR="00BD18A3" w:rsidRPr="00D87612" w:rsidRDefault="00BD18A3" w:rsidP="00BD18A3">
      <w:pPr>
        <w:pStyle w:val="Voetnoottekst"/>
        <w:rPr>
          <w:lang w:val="en-US"/>
        </w:rPr>
      </w:pPr>
      <w:r>
        <w:rPr>
          <w:rStyle w:val="Voetnootmarkering"/>
        </w:rPr>
        <w:footnoteRef/>
      </w:r>
      <w:r w:rsidRPr="00D87612">
        <w:rPr>
          <w:lang w:val="en-US"/>
        </w:rPr>
        <w:t xml:space="preserve"> </w:t>
      </w:r>
      <w:r w:rsidRPr="00D87612">
        <w:rPr>
          <w:sz w:val="16"/>
          <w:szCs w:val="16"/>
          <w:lang w:val="en-US"/>
        </w:rPr>
        <w:t>Art. 146</w:t>
      </w:r>
      <w:r w:rsidRPr="00D87612">
        <w:rPr>
          <w:i/>
          <w:iCs/>
          <w:sz w:val="16"/>
          <w:szCs w:val="16"/>
          <w:lang w:val="en-US"/>
        </w:rPr>
        <w:t xml:space="preserve">bis </w:t>
      </w:r>
      <w:r w:rsidRPr="00D87612">
        <w:rPr>
          <w:sz w:val="16"/>
          <w:szCs w:val="16"/>
          <w:lang w:val="en-US"/>
        </w:rPr>
        <w:t>oud BW.</w:t>
      </w:r>
    </w:p>
  </w:footnote>
  <w:footnote w:id="83">
    <w:p w14:paraId="17F1AEC9" w14:textId="77777777" w:rsidR="00BD18A3" w:rsidRPr="00D87612" w:rsidRDefault="00BD18A3" w:rsidP="00BD18A3">
      <w:pPr>
        <w:pStyle w:val="Voetnoottekst"/>
        <w:rPr>
          <w:sz w:val="16"/>
          <w:szCs w:val="16"/>
          <w:lang w:val="en-US"/>
        </w:rPr>
      </w:pPr>
      <w:r>
        <w:rPr>
          <w:rStyle w:val="Voetnootmarkering"/>
        </w:rPr>
        <w:footnoteRef/>
      </w:r>
      <w:r w:rsidRPr="00D87612">
        <w:rPr>
          <w:lang w:val="en-US"/>
        </w:rPr>
        <w:t xml:space="preserve"> </w:t>
      </w:r>
      <w:r w:rsidRPr="00D87612">
        <w:rPr>
          <w:sz w:val="16"/>
          <w:szCs w:val="16"/>
          <w:lang w:val="en-US"/>
        </w:rPr>
        <w:t>Art. 184 oud BW.</w:t>
      </w:r>
    </w:p>
  </w:footnote>
  <w:footnote w:id="84">
    <w:p w14:paraId="2DCB23B2" w14:textId="77777777" w:rsidR="00BD18A3" w:rsidRPr="00A9094D" w:rsidRDefault="00BD18A3" w:rsidP="00BD18A3">
      <w:pPr>
        <w:pStyle w:val="Voetnoottekst"/>
        <w:rPr>
          <w:sz w:val="16"/>
          <w:szCs w:val="16"/>
        </w:rPr>
      </w:pPr>
      <w:r>
        <w:rPr>
          <w:rStyle w:val="Voetnootmarkering"/>
        </w:rPr>
        <w:footnoteRef/>
      </w:r>
      <w:r w:rsidRPr="009D7C33">
        <w:t xml:space="preserve"> </w:t>
      </w:r>
      <w:r w:rsidRPr="009D7C33">
        <w:rPr>
          <w:sz w:val="16"/>
          <w:szCs w:val="16"/>
        </w:rPr>
        <w:t xml:space="preserve">Cass. 23 januari 2015, AR C.13.0157.N, </w:t>
      </w:r>
      <w:r w:rsidRPr="009D7C33">
        <w:rPr>
          <w:i/>
          <w:iCs/>
          <w:sz w:val="16"/>
          <w:szCs w:val="16"/>
        </w:rPr>
        <w:t xml:space="preserve">Arr.Cass </w:t>
      </w:r>
      <w:r w:rsidRPr="009D7C33">
        <w:rPr>
          <w:sz w:val="16"/>
          <w:szCs w:val="16"/>
        </w:rPr>
        <w:t>2015</w:t>
      </w:r>
      <w:r>
        <w:rPr>
          <w:sz w:val="16"/>
          <w:szCs w:val="16"/>
        </w:rPr>
        <w:t xml:space="preserve">; </w:t>
      </w:r>
      <w:r w:rsidRPr="00DF413C">
        <w:rPr>
          <w:sz w:val="16"/>
          <w:szCs w:val="16"/>
        </w:rPr>
        <w:t xml:space="preserve">Brussel 6 maart 2014, </w:t>
      </w:r>
      <w:r w:rsidRPr="00DF413C">
        <w:rPr>
          <w:i/>
          <w:iCs/>
          <w:sz w:val="16"/>
          <w:szCs w:val="16"/>
        </w:rPr>
        <w:t>Act.dr.fam.</w:t>
      </w:r>
      <w:r w:rsidRPr="00DF413C">
        <w:rPr>
          <w:sz w:val="16"/>
          <w:szCs w:val="16"/>
        </w:rPr>
        <w:t xml:space="preserve"> 2014, 258, noot J. Fierens “Poker-menteur à Las Vegas”</w:t>
      </w:r>
      <w:r>
        <w:rPr>
          <w:sz w:val="16"/>
          <w:szCs w:val="16"/>
          <w:lang w:val="nl-NL"/>
        </w:rPr>
        <w:t xml:space="preserve">; </w:t>
      </w:r>
      <w:r w:rsidRPr="00D6592E">
        <w:rPr>
          <w:sz w:val="16"/>
          <w:szCs w:val="16"/>
        </w:rPr>
        <w:t xml:space="preserve">Antwerpen 17 januari 2017, </w:t>
      </w:r>
      <w:r w:rsidRPr="00A9094D">
        <w:rPr>
          <w:i/>
          <w:iCs/>
          <w:sz w:val="16"/>
          <w:szCs w:val="16"/>
        </w:rPr>
        <w:t>T.Fam.</w:t>
      </w:r>
      <w:r w:rsidRPr="00D6592E">
        <w:rPr>
          <w:sz w:val="16"/>
          <w:szCs w:val="16"/>
        </w:rPr>
        <w:t xml:space="preserve"> 2018, afl. 2, 50, noot </w:t>
      </w:r>
      <w:r>
        <w:rPr>
          <w:sz w:val="16"/>
          <w:szCs w:val="16"/>
        </w:rPr>
        <w:t>A. VAN THIENEN;</w:t>
      </w:r>
      <w:r w:rsidRPr="00ED5810">
        <w:rPr>
          <w:sz w:val="16"/>
          <w:szCs w:val="16"/>
        </w:rPr>
        <w:t xml:space="preserve"> </w:t>
      </w:r>
      <w:r w:rsidRPr="00D6592E">
        <w:rPr>
          <w:sz w:val="16"/>
          <w:szCs w:val="16"/>
        </w:rPr>
        <w:t xml:space="preserve">Gent 14 februari 2019, </w:t>
      </w:r>
      <w:r w:rsidRPr="00D6592E">
        <w:rPr>
          <w:i/>
          <w:iCs/>
          <w:sz w:val="16"/>
          <w:szCs w:val="16"/>
        </w:rPr>
        <w:t>Tijdschrift@ipr.be</w:t>
      </w:r>
      <w:r w:rsidRPr="00D6592E">
        <w:rPr>
          <w:sz w:val="16"/>
          <w:szCs w:val="16"/>
        </w:rPr>
        <w:t xml:space="preserve"> 2021, afl. 2, 44</w:t>
      </w:r>
      <w:r>
        <w:rPr>
          <w:sz w:val="16"/>
          <w:szCs w:val="16"/>
        </w:rPr>
        <w:t xml:space="preserve">; </w:t>
      </w:r>
      <w:r w:rsidRPr="00A9094D">
        <w:rPr>
          <w:sz w:val="16"/>
          <w:szCs w:val="16"/>
        </w:rPr>
        <w:t>Gent</w:t>
      </w:r>
      <w:r>
        <w:rPr>
          <w:sz w:val="16"/>
          <w:szCs w:val="16"/>
        </w:rPr>
        <w:t xml:space="preserve"> </w:t>
      </w:r>
      <w:r w:rsidRPr="00A9094D">
        <w:rPr>
          <w:sz w:val="16"/>
          <w:szCs w:val="16"/>
        </w:rPr>
        <w:t xml:space="preserve">15 oktober 2020, </w:t>
      </w:r>
      <w:r w:rsidRPr="00A9094D">
        <w:rPr>
          <w:i/>
          <w:iCs/>
          <w:sz w:val="16"/>
          <w:szCs w:val="16"/>
        </w:rPr>
        <w:t>Tijdschrift@ipr.be</w:t>
      </w:r>
      <w:r w:rsidRPr="00A9094D">
        <w:rPr>
          <w:sz w:val="16"/>
          <w:szCs w:val="16"/>
        </w:rPr>
        <w:t xml:space="preserve"> 2021, afl. 2, 23</w:t>
      </w:r>
      <w:r>
        <w:rPr>
          <w:sz w:val="16"/>
          <w:szCs w:val="16"/>
        </w:rPr>
        <w:t>.</w:t>
      </w:r>
    </w:p>
  </w:footnote>
  <w:footnote w:id="85">
    <w:p w14:paraId="652532DC" w14:textId="77777777" w:rsidR="00BD18A3" w:rsidRPr="008C6C52" w:rsidRDefault="00BD18A3" w:rsidP="00BD18A3">
      <w:pPr>
        <w:pStyle w:val="Voetnoottekst"/>
      </w:pPr>
      <w:r>
        <w:rPr>
          <w:rStyle w:val="Voetnootmarkering"/>
        </w:rPr>
        <w:footnoteRef/>
      </w:r>
      <w:r>
        <w:t xml:space="preserve"> </w:t>
      </w:r>
      <w:r>
        <w:rPr>
          <w:sz w:val="16"/>
          <w:szCs w:val="16"/>
        </w:rPr>
        <w:t xml:space="preserve">L. DE SCHRIJVER, “De benadering van de schijnwettelijke samenwoning in de rechtspraak”, </w:t>
      </w:r>
      <w:r>
        <w:rPr>
          <w:i/>
          <w:iCs/>
          <w:sz w:val="16"/>
          <w:szCs w:val="16"/>
        </w:rPr>
        <w:t xml:space="preserve">T.Fam. </w:t>
      </w:r>
      <w:r>
        <w:rPr>
          <w:sz w:val="16"/>
          <w:szCs w:val="16"/>
        </w:rPr>
        <w:t>2017,      (113) 118.</w:t>
      </w:r>
    </w:p>
  </w:footnote>
  <w:footnote w:id="86">
    <w:p w14:paraId="5F1D21E6" w14:textId="77777777" w:rsidR="00BD18A3" w:rsidRPr="00F71C14" w:rsidRDefault="00BD18A3" w:rsidP="00BD18A3">
      <w:pPr>
        <w:pStyle w:val="Voetnoottekst"/>
        <w:rPr>
          <w:sz w:val="16"/>
          <w:szCs w:val="16"/>
          <w:lang w:val="fr-BE"/>
        </w:rPr>
      </w:pPr>
      <w:r>
        <w:rPr>
          <w:rStyle w:val="Voetnootmarkering"/>
        </w:rPr>
        <w:footnoteRef/>
      </w:r>
      <w:r w:rsidRPr="00664742">
        <w:rPr>
          <w:lang w:val="fr-BE"/>
        </w:rPr>
        <w:t xml:space="preserve"> </w:t>
      </w:r>
      <w:r w:rsidRPr="00664742">
        <w:rPr>
          <w:sz w:val="16"/>
          <w:szCs w:val="16"/>
          <w:lang w:val="fr-BE"/>
        </w:rPr>
        <w:t>T. EVRARD en C. A</w:t>
      </w:r>
      <w:r>
        <w:rPr>
          <w:sz w:val="16"/>
          <w:szCs w:val="16"/>
          <w:lang w:val="fr-BE"/>
        </w:rPr>
        <w:t>PERS</w:t>
      </w:r>
      <w:r w:rsidRPr="00664742">
        <w:rPr>
          <w:sz w:val="16"/>
          <w:szCs w:val="16"/>
          <w:lang w:val="fr-BE"/>
        </w:rPr>
        <w:t>, “La loi du 2 juin 2013 visant à lutter contre les mariages de complaisance et les   cohabitations légales de complaisance”, </w:t>
      </w:r>
      <w:r w:rsidRPr="00664742">
        <w:rPr>
          <w:i/>
          <w:iCs/>
          <w:sz w:val="16"/>
          <w:szCs w:val="16"/>
          <w:lang w:val="fr-BE"/>
        </w:rPr>
        <w:t>Rev.dr.étr.</w:t>
      </w:r>
      <w:r w:rsidRPr="00664742">
        <w:rPr>
          <w:sz w:val="16"/>
          <w:szCs w:val="16"/>
          <w:lang w:val="fr-BE"/>
        </w:rPr>
        <w:t xml:space="preserve"> 2014, </w:t>
      </w:r>
      <w:r>
        <w:rPr>
          <w:sz w:val="16"/>
          <w:szCs w:val="16"/>
          <w:lang w:val="fr-BE"/>
        </w:rPr>
        <w:t xml:space="preserve">(563) </w:t>
      </w:r>
      <w:r w:rsidRPr="00664742">
        <w:rPr>
          <w:sz w:val="16"/>
          <w:szCs w:val="16"/>
          <w:lang w:val="fr-BE"/>
        </w:rPr>
        <w:t>569; P. SENAEVE, “Commentaar bij art. 1476</w:t>
      </w:r>
      <w:r w:rsidRPr="00664742">
        <w:rPr>
          <w:i/>
          <w:iCs/>
          <w:sz w:val="16"/>
          <w:szCs w:val="16"/>
          <w:lang w:val="fr-BE"/>
        </w:rPr>
        <w:t>bis</w:t>
      </w:r>
      <w:r w:rsidRPr="00664742">
        <w:rPr>
          <w:sz w:val="16"/>
          <w:szCs w:val="16"/>
          <w:lang w:val="fr-BE"/>
        </w:rPr>
        <w:t> BW, 1476</w:t>
      </w:r>
      <w:r w:rsidRPr="000F5B43">
        <w:rPr>
          <w:i/>
          <w:iCs/>
          <w:sz w:val="16"/>
          <w:szCs w:val="16"/>
          <w:lang w:val="fr-BE"/>
        </w:rPr>
        <w:t>ter</w:t>
      </w:r>
      <w:r w:rsidRPr="00664742">
        <w:rPr>
          <w:sz w:val="16"/>
          <w:szCs w:val="16"/>
          <w:lang w:val="fr-BE"/>
        </w:rPr>
        <w:t> BW en 1476</w:t>
      </w:r>
      <w:r w:rsidRPr="000F5B43">
        <w:rPr>
          <w:i/>
          <w:iCs/>
          <w:sz w:val="16"/>
          <w:szCs w:val="16"/>
          <w:lang w:val="fr-BE"/>
        </w:rPr>
        <w:t>quater </w:t>
      </w:r>
      <w:r w:rsidRPr="00664742">
        <w:rPr>
          <w:sz w:val="16"/>
          <w:szCs w:val="16"/>
          <w:lang w:val="fr-BE"/>
        </w:rPr>
        <w:t>BW”</w:t>
      </w:r>
      <w:r w:rsidRPr="00F71C14">
        <w:t xml:space="preserve"> </w:t>
      </w:r>
      <w:r w:rsidRPr="00F71C14">
        <w:rPr>
          <w:sz w:val="16"/>
          <w:szCs w:val="16"/>
        </w:rPr>
        <w:t xml:space="preserve">in </w:t>
      </w:r>
      <w:r>
        <w:rPr>
          <w:sz w:val="16"/>
          <w:szCs w:val="16"/>
        </w:rPr>
        <w:t xml:space="preserve">P. </w:t>
      </w:r>
      <w:r w:rsidRPr="00F71C14">
        <w:rPr>
          <w:sz w:val="16"/>
          <w:szCs w:val="16"/>
        </w:rPr>
        <w:t>SENAEVE,</w:t>
      </w:r>
      <w:r>
        <w:rPr>
          <w:sz w:val="16"/>
          <w:szCs w:val="16"/>
        </w:rPr>
        <w:t xml:space="preserve"> F. </w:t>
      </w:r>
      <w:r w:rsidRPr="00F71C14">
        <w:rPr>
          <w:sz w:val="16"/>
          <w:szCs w:val="16"/>
        </w:rPr>
        <w:t xml:space="preserve">SWENNEN en </w:t>
      </w:r>
      <w:r>
        <w:rPr>
          <w:sz w:val="16"/>
          <w:szCs w:val="16"/>
        </w:rPr>
        <w:t xml:space="preserve">G. </w:t>
      </w:r>
      <w:r w:rsidRPr="00F71C14">
        <w:rPr>
          <w:sz w:val="16"/>
          <w:szCs w:val="16"/>
        </w:rPr>
        <w:t>VERSCHELDEN</w:t>
      </w:r>
      <w:r>
        <w:rPr>
          <w:sz w:val="16"/>
          <w:szCs w:val="16"/>
        </w:rPr>
        <w:t xml:space="preserve"> (eds.)</w:t>
      </w:r>
      <w:r w:rsidRPr="00F71C14">
        <w:rPr>
          <w:sz w:val="16"/>
          <w:szCs w:val="16"/>
        </w:rPr>
        <w:t>, Personen- en familierecht. Artikelsgewijze commentaar met overzicht van rechtspraak en rechtsleer, Mechelen, Wolters Kluwer, 2014</w:t>
      </w:r>
      <w:r w:rsidRPr="00F71C14">
        <w:rPr>
          <w:sz w:val="16"/>
          <w:szCs w:val="16"/>
          <w:lang w:val="fr-BE"/>
        </w:rPr>
        <w:t>, Kluwer, (1) 5.</w:t>
      </w:r>
    </w:p>
  </w:footnote>
  <w:footnote w:id="87">
    <w:p w14:paraId="7BAA57AE" w14:textId="77777777" w:rsidR="00BD18A3" w:rsidRPr="00285968" w:rsidRDefault="00BD18A3" w:rsidP="00BD18A3">
      <w:pPr>
        <w:pStyle w:val="Voetnoottekst"/>
        <w:rPr>
          <w:sz w:val="16"/>
          <w:szCs w:val="16"/>
        </w:rPr>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1136.</w:t>
      </w:r>
    </w:p>
  </w:footnote>
  <w:footnote w:id="88">
    <w:p w14:paraId="50F2BA53" w14:textId="77777777" w:rsidR="00BD18A3" w:rsidRPr="00F86EA7" w:rsidRDefault="00BD18A3" w:rsidP="00BD18A3">
      <w:pPr>
        <w:pStyle w:val="Voetnoottekst"/>
      </w:pPr>
      <w:r>
        <w:rPr>
          <w:rStyle w:val="Voetnootmarkering"/>
        </w:rPr>
        <w:footnoteRef/>
      </w:r>
      <w:r>
        <w:t xml:space="preserve"> </w:t>
      </w:r>
      <w:r w:rsidRPr="00F86EA7">
        <w:rPr>
          <w:sz w:val="16"/>
          <w:szCs w:val="16"/>
        </w:rPr>
        <w:t>Adv.RvS 52.283/2, </w:t>
      </w:r>
      <w:r w:rsidRPr="00B8409A">
        <w:rPr>
          <w:i/>
          <w:iCs/>
          <w:sz w:val="16"/>
          <w:szCs w:val="16"/>
        </w:rPr>
        <w:t>Parl.St</w:t>
      </w:r>
      <w:r w:rsidRPr="00F86EA7">
        <w:rPr>
          <w:sz w:val="16"/>
          <w:szCs w:val="16"/>
        </w:rPr>
        <w:t>. Kamer 2012-13, nr. 53-2673/1, 34.</w:t>
      </w:r>
    </w:p>
  </w:footnote>
  <w:footnote w:id="89">
    <w:p w14:paraId="0AE2F5C5" w14:textId="77777777" w:rsidR="00BD18A3" w:rsidRPr="00627084" w:rsidRDefault="00BD18A3" w:rsidP="00BD18A3">
      <w:pPr>
        <w:spacing w:line="240" w:lineRule="auto"/>
        <w:rPr>
          <w:sz w:val="16"/>
          <w:szCs w:val="21"/>
          <w:lang w:val="nl-NL"/>
        </w:rPr>
      </w:pPr>
      <w:r>
        <w:rPr>
          <w:rStyle w:val="Voetnootmarkering"/>
        </w:rPr>
        <w:footnoteRef/>
      </w:r>
      <w:r>
        <w:t xml:space="preserve"> </w:t>
      </w:r>
      <w:r w:rsidRPr="00627084">
        <w:rPr>
          <w:sz w:val="16"/>
          <w:szCs w:val="21"/>
        </w:rPr>
        <w:t>Verslag namens de commissie voor de Justitie, </w:t>
      </w:r>
      <w:r w:rsidRPr="00E02F33">
        <w:rPr>
          <w:i/>
          <w:iCs/>
          <w:sz w:val="16"/>
          <w:szCs w:val="21"/>
        </w:rPr>
        <w:t>Parl.St</w:t>
      </w:r>
      <w:r w:rsidRPr="00627084">
        <w:rPr>
          <w:sz w:val="16"/>
          <w:szCs w:val="21"/>
        </w:rPr>
        <w:t>. Kamer 1997-98, nr. 49-170/8, 62-64; verslag namens de commissie voor de Justitie, </w:t>
      </w:r>
      <w:r w:rsidRPr="00E02F33">
        <w:rPr>
          <w:i/>
          <w:iCs/>
          <w:sz w:val="16"/>
          <w:szCs w:val="21"/>
        </w:rPr>
        <w:t>Parl.St</w:t>
      </w:r>
      <w:r w:rsidRPr="00627084">
        <w:rPr>
          <w:sz w:val="16"/>
          <w:szCs w:val="21"/>
        </w:rPr>
        <w:t>. Kamer 1998-99, nr. 49-170/15, 6</w:t>
      </w:r>
      <w:r>
        <w:rPr>
          <w:sz w:val="16"/>
          <w:szCs w:val="21"/>
        </w:rPr>
        <w:t>;</w:t>
      </w:r>
      <w:r w:rsidRPr="00627084">
        <w:rPr>
          <w:sz w:val="16"/>
          <w:szCs w:val="21"/>
        </w:rPr>
        <w:t xml:space="preserve"> verslag namens de commissie voor de Justitie, </w:t>
      </w:r>
      <w:r w:rsidRPr="00E02F33">
        <w:rPr>
          <w:i/>
          <w:iCs/>
          <w:sz w:val="16"/>
          <w:szCs w:val="21"/>
        </w:rPr>
        <w:t>Parl.St</w:t>
      </w:r>
      <w:r w:rsidRPr="00627084">
        <w:rPr>
          <w:sz w:val="16"/>
          <w:szCs w:val="21"/>
        </w:rPr>
        <w:t>. Senaat 1997-98, nr. 1-916/5, 19-20</w:t>
      </w:r>
      <w:r>
        <w:rPr>
          <w:sz w:val="16"/>
          <w:szCs w:val="21"/>
        </w:rPr>
        <w:t>.</w:t>
      </w:r>
    </w:p>
  </w:footnote>
  <w:footnote w:id="90">
    <w:p w14:paraId="3FFB4475" w14:textId="77777777" w:rsidR="00BD18A3" w:rsidRPr="00963897" w:rsidRDefault="00BD18A3" w:rsidP="00BD18A3">
      <w:pPr>
        <w:pStyle w:val="Voetnoottekst"/>
        <w:rPr>
          <w:sz w:val="16"/>
          <w:szCs w:val="16"/>
        </w:rPr>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 xml:space="preserve">Brugge, die Keure, 2023, </w:t>
      </w:r>
      <w:r w:rsidRPr="00B3068C">
        <w:rPr>
          <w:sz w:val="16"/>
          <w:szCs w:val="16"/>
        </w:rPr>
        <w:t>1</w:t>
      </w:r>
      <w:r>
        <w:rPr>
          <w:sz w:val="16"/>
          <w:szCs w:val="16"/>
        </w:rPr>
        <w:t>109.</w:t>
      </w:r>
    </w:p>
  </w:footnote>
  <w:footnote w:id="91">
    <w:p w14:paraId="257E17B2" w14:textId="77777777" w:rsidR="00BD18A3" w:rsidRPr="00B36DEF" w:rsidRDefault="00BD18A3" w:rsidP="00BD18A3">
      <w:pPr>
        <w:pStyle w:val="Voetnoottekst"/>
        <w:rPr>
          <w:sz w:val="16"/>
          <w:szCs w:val="16"/>
          <w:lang w:val="en-US"/>
        </w:rPr>
      </w:pPr>
      <w:r>
        <w:rPr>
          <w:rStyle w:val="Voetnootmarkering"/>
        </w:rPr>
        <w:footnoteRef/>
      </w:r>
      <w:r w:rsidRPr="00B36DEF">
        <w:rPr>
          <w:lang w:val="en-US"/>
        </w:rPr>
        <w:t xml:space="preserve"> </w:t>
      </w:r>
      <w:r w:rsidRPr="00B36DEF">
        <w:rPr>
          <w:sz w:val="16"/>
          <w:szCs w:val="16"/>
          <w:lang w:val="en-US"/>
        </w:rPr>
        <w:t>Art</w:t>
      </w:r>
      <w:r>
        <w:rPr>
          <w:sz w:val="16"/>
          <w:szCs w:val="16"/>
          <w:lang w:val="en-US"/>
        </w:rPr>
        <w:t>. 1476</w:t>
      </w:r>
      <w:r>
        <w:rPr>
          <w:i/>
          <w:iCs/>
          <w:sz w:val="16"/>
          <w:szCs w:val="16"/>
          <w:lang w:val="en-US"/>
        </w:rPr>
        <w:t xml:space="preserve">bis </w:t>
      </w:r>
      <w:r>
        <w:rPr>
          <w:sz w:val="16"/>
          <w:szCs w:val="16"/>
          <w:lang w:val="en-US"/>
        </w:rPr>
        <w:t>oud BW.</w:t>
      </w:r>
    </w:p>
  </w:footnote>
  <w:footnote w:id="92">
    <w:p w14:paraId="715FBD4F" w14:textId="77777777" w:rsidR="00BD18A3" w:rsidRPr="00B36DEF" w:rsidRDefault="00BD18A3" w:rsidP="00BD18A3">
      <w:pPr>
        <w:pStyle w:val="Voetnoottekst"/>
        <w:rPr>
          <w:sz w:val="16"/>
          <w:szCs w:val="16"/>
          <w:lang w:val="en-US"/>
        </w:rPr>
      </w:pPr>
      <w:r>
        <w:rPr>
          <w:rStyle w:val="Voetnootmarkering"/>
        </w:rPr>
        <w:footnoteRef/>
      </w:r>
      <w:r w:rsidRPr="00B36DEF">
        <w:rPr>
          <w:lang w:val="en-US"/>
        </w:rPr>
        <w:t xml:space="preserve"> </w:t>
      </w:r>
      <w:r w:rsidRPr="00B36DEF">
        <w:rPr>
          <w:sz w:val="16"/>
          <w:szCs w:val="16"/>
          <w:lang w:val="en-US"/>
        </w:rPr>
        <w:t>Art. 146</w:t>
      </w:r>
      <w:r w:rsidRPr="00B36DEF">
        <w:rPr>
          <w:i/>
          <w:iCs/>
          <w:sz w:val="16"/>
          <w:szCs w:val="16"/>
          <w:lang w:val="en-US"/>
        </w:rPr>
        <w:t xml:space="preserve">bis </w:t>
      </w:r>
      <w:r w:rsidRPr="00B36DEF">
        <w:rPr>
          <w:sz w:val="16"/>
          <w:szCs w:val="16"/>
          <w:lang w:val="en-US"/>
        </w:rPr>
        <w:t>oud BW.</w:t>
      </w:r>
    </w:p>
  </w:footnote>
  <w:footnote w:id="93">
    <w:p w14:paraId="00EE8201" w14:textId="77777777" w:rsidR="00BD18A3" w:rsidRPr="00906A8E" w:rsidRDefault="00BD18A3" w:rsidP="00BD18A3">
      <w:pPr>
        <w:pStyle w:val="Voetnoottekst"/>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621.</w:t>
      </w:r>
    </w:p>
  </w:footnote>
  <w:footnote w:id="94">
    <w:p w14:paraId="58FE0F0B" w14:textId="77777777" w:rsidR="00BD18A3" w:rsidRPr="00BF3C70" w:rsidRDefault="00BD18A3" w:rsidP="00BD18A3">
      <w:pPr>
        <w:pStyle w:val="Voetnoottekst"/>
      </w:pPr>
      <w:r>
        <w:rPr>
          <w:rStyle w:val="Voetnootmarkering"/>
        </w:rPr>
        <w:footnoteRef/>
      </w:r>
      <w:r>
        <w:t xml:space="preserve"> </w:t>
      </w:r>
      <w:r w:rsidRPr="00BF3C70">
        <w:rPr>
          <w:sz w:val="16"/>
          <w:szCs w:val="16"/>
        </w:rPr>
        <w:t>Omz. van 17 december 1999 inzake de Wet van 4 mei 1999 tot wijziging van een aantal bepalingen betreffende het huwelijk, </w:t>
      </w:r>
      <w:r w:rsidRPr="00BF3C70">
        <w:rPr>
          <w:i/>
          <w:iCs/>
          <w:sz w:val="16"/>
          <w:szCs w:val="16"/>
        </w:rPr>
        <w:t>BS</w:t>
      </w:r>
      <w:r>
        <w:rPr>
          <w:sz w:val="16"/>
          <w:szCs w:val="16"/>
        </w:rPr>
        <w:t xml:space="preserve"> </w:t>
      </w:r>
      <w:r w:rsidRPr="00BF3C70">
        <w:rPr>
          <w:sz w:val="16"/>
          <w:szCs w:val="16"/>
        </w:rPr>
        <w:t>31 december 1999;</w:t>
      </w:r>
      <w:r>
        <w:rPr>
          <w:sz w:val="16"/>
          <w:szCs w:val="16"/>
        </w:rPr>
        <w:t xml:space="preserve"> Verslag namens de commissie voor de Justitie</w:t>
      </w:r>
      <w:r w:rsidRPr="00BF3C70">
        <w:rPr>
          <w:sz w:val="16"/>
          <w:szCs w:val="16"/>
        </w:rPr>
        <w:t>, </w:t>
      </w:r>
      <w:r w:rsidRPr="00BF3C70">
        <w:rPr>
          <w:i/>
          <w:iCs/>
          <w:sz w:val="16"/>
          <w:szCs w:val="16"/>
        </w:rPr>
        <w:t>Parl.St.</w:t>
      </w:r>
      <w:r w:rsidRPr="00BF3C70">
        <w:rPr>
          <w:sz w:val="16"/>
          <w:szCs w:val="16"/>
        </w:rPr>
        <w:t> Kamer 1998-99, nr. 1991/3, 13-14</w:t>
      </w:r>
      <w:r>
        <w:rPr>
          <w:sz w:val="16"/>
          <w:szCs w:val="16"/>
        </w:rPr>
        <w:t>.</w:t>
      </w:r>
    </w:p>
  </w:footnote>
  <w:footnote w:id="95">
    <w:p w14:paraId="2593F90F" w14:textId="77777777" w:rsidR="00BD18A3" w:rsidRPr="00E02F33" w:rsidRDefault="00BD18A3" w:rsidP="00BD18A3">
      <w:pPr>
        <w:rPr>
          <w:lang w:val="nl-NL"/>
        </w:rPr>
      </w:pPr>
      <w:r>
        <w:rPr>
          <w:rStyle w:val="Voetnootmarkering"/>
        </w:rPr>
        <w:footnoteRef/>
      </w:r>
      <w:r>
        <w:t xml:space="preserve"> </w:t>
      </w:r>
      <w:r w:rsidRPr="00E022A2">
        <w:rPr>
          <w:sz w:val="16"/>
          <w:szCs w:val="21"/>
        </w:rPr>
        <w:t>S. D’HONDT, “Commentaar bij art. 146</w:t>
      </w:r>
      <w:r w:rsidRPr="00E022A2">
        <w:rPr>
          <w:i/>
          <w:iCs/>
          <w:sz w:val="16"/>
          <w:szCs w:val="21"/>
        </w:rPr>
        <w:t>bis</w:t>
      </w:r>
      <w:r w:rsidRPr="00E022A2">
        <w:rPr>
          <w:sz w:val="16"/>
          <w:szCs w:val="21"/>
        </w:rPr>
        <w:t xml:space="preserve"> BW”, Comm.Pers. 2000, 6-9.</w:t>
      </w:r>
    </w:p>
    <w:p w14:paraId="38C66E25" w14:textId="77777777" w:rsidR="00BD18A3" w:rsidRPr="00D82EC5" w:rsidRDefault="00BD18A3" w:rsidP="00BD18A3">
      <w:pPr>
        <w:spacing w:line="240" w:lineRule="auto"/>
        <w:rPr>
          <w:sz w:val="16"/>
          <w:szCs w:val="21"/>
          <w:lang w:val="nl-NL"/>
        </w:rPr>
      </w:pPr>
    </w:p>
  </w:footnote>
  <w:footnote w:id="96">
    <w:p w14:paraId="2F7C5609" w14:textId="77777777" w:rsidR="00BD18A3" w:rsidRPr="00900A44" w:rsidRDefault="00BD18A3" w:rsidP="00BD18A3">
      <w:pPr>
        <w:pStyle w:val="Voetnoottekst"/>
      </w:pPr>
      <w:r>
        <w:rPr>
          <w:rStyle w:val="Voetnootmarkering"/>
        </w:rPr>
        <w:footnoteRef/>
      </w:r>
      <w:r w:rsidRPr="00900A44">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480-481 en 491.</w:t>
      </w:r>
    </w:p>
  </w:footnote>
  <w:footnote w:id="97">
    <w:p w14:paraId="4FFD73E1" w14:textId="77777777" w:rsidR="00BD18A3" w:rsidRPr="00CD5E7D" w:rsidRDefault="00BD18A3" w:rsidP="00BD18A3">
      <w:pPr>
        <w:pStyle w:val="Voetnoottekst"/>
        <w:rPr>
          <w:sz w:val="16"/>
          <w:szCs w:val="16"/>
          <w:lang w:val="en-US"/>
        </w:rPr>
      </w:pPr>
      <w:r>
        <w:rPr>
          <w:rStyle w:val="Voetnootmarkering"/>
        </w:rPr>
        <w:footnoteRef/>
      </w:r>
      <w:r w:rsidRPr="00CD5E7D">
        <w:rPr>
          <w:lang w:val="en-US"/>
        </w:rPr>
        <w:t xml:space="preserve"> </w:t>
      </w:r>
      <w:r w:rsidRPr="00CD5E7D">
        <w:rPr>
          <w:sz w:val="16"/>
          <w:szCs w:val="16"/>
          <w:lang w:val="en-US"/>
        </w:rPr>
        <w:t>Art. 121, §</w:t>
      </w:r>
      <w:r>
        <w:rPr>
          <w:sz w:val="16"/>
          <w:szCs w:val="16"/>
          <w:lang w:val="en-US"/>
        </w:rPr>
        <w:t xml:space="preserve"> </w:t>
      </w:r>
      <w:r w:rsidRPr="00CD5E7D">
        <w:rPr>
          <w:sz w:val="16"/>
          <w:szCs w:val="16"/>
          <w:lang w:val="en-US"/>
        </w:rPr>
        <w:t>2 oud BW.</w:t>
      </w:r>
    </w:p>
  </w:footnote>
  <w:footnote w:id="98">
    <w:p w14:paraId="49536C0F" w14:textId="77777777" w:rsidR="00BD18A3" w:rsidRPr="00956E70" w:rsidRDefault="00BD18A3" w:rsidP="00BD18A3">
      <w:pPr>
        <w:pStyle w:val="Voetnoottekst"/>
        <w:rPr>
          <w:lang w:val="en-US"/>
        </w:rPr>
      </w:pPr>
      <w:r>
        <w:rPr>
          <w:rStyle w:val="Voetnootmarkering"/>
        </w:rPr>
        <w:footnoteRef/>
      </w:r>
      <w:r w:rsidRPr="00956E70">
        <w:rPr>
          <w:lang w:val="en-US"/>
        </w:rPr>
        <w:t xml:space="preserve"> </w:t>
      </w:r>
      <w:r w:rsidRPr="00956E70">
        <w:rPr>
          <w:sz w:val="16"/>
          <w:szCs w:val="16"/>
          <w:lang w:val="en-US"/>
        </w:rPr>
        <w:t>Art. 227 oud BW.</w:t>
      </w:r>
    </w:p>
  </w:footnote>
  <w:footnote w:id="99">
    <w:p w14:paraId="206555D1" w14:textId="77777777" w:rsidR="00BD18A3" w:rsidRPr="002B4C1B" w:rsidRDefault="00BD18A3" w:rsidP="00BD18A3">
      <w:pPr>
        <w:pStyle w:val="Voetnoottekst"/>
        <w:rPr>
          <w:sz w:val="16"/>
          <w:szCs w:val="16"/>
          <w:lang w:val="en-US"/>
        </w:rPr>
      </w:pPr>
      <w:r>
        <w:rPr>
          <w:rStyle w:val="Voetnootmarkering"/>
        </w:rPr>
        <w:footnoteRef/>
      </w:r>
      <w:r w:rsidRPr="002B4C1B">
        <w:rPr>
          <w:lang w:val="en-US"/>
        </w:rPr>
        <w:t xml:space="preserve"> </w:t>
      </w:r>
      <w:r w:rsidRPr="002B4C1B">
        <w:rPr>
          <w:sz w:val="16"/>
          <w:szCs w:val="16"/>
          <w:lang w:val="en-US"/>
        </w:rPr>
        <w:t>Art. 1476, § 2 oud BW.</w:t>
      </w:r>
    </w:p>
  </w:footnote>
  <w:footnote w:id="100">
    <w:p w14:paraId="6A99E8A6" w14:textId="77777777" w:rsidR="00BD18A3" w:rsidRPr="002B4C1B" w:rsidRDefault="00BD18A3" w:rsidP="00BD18A3">
      <w:pPr>
        <w:pStyle w:val="Voetnoottekst"/>
        <w:rPr>
          <w:sz w:val="16"/>
          <w:szCs w:val="16"/>
          <w:lang w:val="en-US"/>
        </w:rPr>
      </w:pPr>
      <w:r>
        <w:rPr>
          <w:rStyle w:val="Voetnootmarkering"/>
        </w:rPr>
        <w:footnoteRef/>
      </w:r>
      <w:r w:rsidRPr="002B4C1B">
        <w:rPr>
          <w:lang w:val="en-US"/>
        </w:rPr>
        <w:t xml:space="preserve"> </w:t>
      </w:r>
      <w:r w:rsidRPr="002B4C1B">
        <w:rPr>
          <w:sz w:val="16"/>
          <w:szCs w:val="16"/>
          <w:lang w:val="en-US"/>
        </w:rPr>
        <w:t>Art. 2.3.1. BW.</w:t>
      </w:r>
    </w:p>
  </w:footnote>
  <w:footnote w:id="101">
    <w:p w14:paraId="2D7F0B36" w14:textId="77777777" w:rsidR="00BD18A3" w:rsidRPr="00F011FE" w:rsidRDefault="00BD18A3" w:rsidP="00BD18A3">
      <w:pPr>
        <w:pStyle w:val="Voetnoottekst"/>
      </w:pPr>
      <w:r>
        <w:rPr>
          <w:rStyle w:val="Voetnootmarkering"/>
        </w:rPr>
        <w:footnoteRef/>
      </w:r>
      <w:r>
        <w:t xml:space="preserve"> </w:t>
      </w:r>
      <w:r w:rsidRPr="003F0BB0">
        <w:rPr>
          <w:sz w:val="16"/>
          <w:szCs w:val="16"/>
        </w:rPr>
        <w:t>P. SENAEVE en C. DECLERCK,</w:t>
      </w:r>
      <w:r>
        <w:rPr>
          <w:sz w:val="16"/>
          <w:szCs w:val="16"/>
        </w:rPr>
        <w:t xml:space="preserve"> </w:t>
      </w:r>
      <w:r>
        <w:rPr>
          <w:i/>
          <w:iCs/>
          <w:sz w:val="16"/>
          <w:szCs w:val="16"/>
        </w:rPr>
        <w:t xml:space="preserve">Compendium van het personen- en familierecht, </w:t>
      </w:r>
      <w:r>
        <w:rPr>
          <w:sz w:val="16"/>
          <w:szCs w:val="16"/>
        </w:rPr>
        <w:t>Leuven, Acco, 2022, 534.</w:t>
      </w:r>
    </w:p>
  </w:footnote>
  <w:footnote w:id="102">
    <w:p w14:paraId="7DDDE776" w14:textId="77777777" w:rsidR="00BD18A3" w:rsidRPr="00520533" w:rsidRDefault="00BD18A3" w:rsidP="00BD18A3">
      <w:pPr>
        <w:pStyle w:val="Voetnoottekst"/>
        <w:rPr>
          <w:sz w:val="16"/>
          <w:szCs w:val="16"/>
        </w:rPr>
      </w:pPr>
      <w:r>
        <w:rPr>
          <w:rStyle w:val="Voetnootmarkering"/>
        </w:rPr>
        <w:footnoteRef/>
      </w:r>
      <w:r>
        <w:t xml:space="preserve"> </w:t>
      </w:r>
      <w:r>
        <w:rPr>
          <w:sz w:val="16"/>
          <w:szCs w:val="16"/>
        </w:rPr>
        <w:t>Art. 1477 oud BW.</w:t>
      </w:r>
    </w:p>
  </w:footnote>
  <w:footnote w:id="103">
    <w:p w14:paraId="450599B2" w14:textId="77777777" w:rsidR="00BD18A3" w:rsidRPr="007317E9" w:rsidRDefault="00BD18A3" w:rsidP="00BD18A3">
      <w:pPr>
        <w:pStyle w:val="Voetnoottekst"/>
        <w:rPr>
          <w:sz w:val="16"/>
          <w:szCs w:val="16"/>
        </w:rPr>
      </w:pPr>
      <w:r>
        <w:rPr>
          <w:rStyle w:val="Voetnootmarkering"/>
        </w:rPr>
        <w:footnoteRef/>
      </w:r>
      <w:r>
        <w:t xml:space="preserve"> </w:t>
      </w:r>
      <w:r>
        <w:rPr>
          <w:sz w:val="16"/>
          <w:szCs w:val="16"/>
        </w:rPr>
        <w:t>Art. 1478, § 1, vierde lid oud BW.</w:t>
      </w:r>
    </w:p>
  </w:footnote>
  <w:footnote w:id="104">
    <w:p w14:paraId="02E61703" w14:textId="77777777" w:rsidR="00BD18A3" w:rsidRPr="005A0A10" w:rsidRDefault="00BD18A3" w:rsidP="00BD18A3">
      <w:pPr>
        <w:pStyle w:val="Voetnoottekst"/>
        <w:rPr>
          <w:sz w:val="16"/>
          <w:szCs w:val="16"/>
          <w:lang w:val="nl-NL"/>
        </w:rPr>
      </w:pPr>
      <w:r>
        <w:rPr>
          <w:rStyle w:val="Voetnootmarkering"/>
        </w:rPr>
        <w:footnoteRef/>
      </w:r>
      <w:r>
        <w:t xml:space="preserve"> </w:t>
      </w:r>
      <w:r w:rsidRPr="0072519F">
        <w:rPr>
          <w:sz w:val="16"/>
          <w:szCs w:val="16"/>
        </w:rPr>
        <w:t>S. PLINGERS en S. PEEL, “Samenlevingscontracten”, in A. VERBEKE, F. BUYSSENS en H. DERYCKE</w:t>
      </w:r>
      <w:r>
        <w:rPr>
          <w:sz w:val="16"/>
          <w:szCs w:val="16"/>
        </w:rPr>
        <w:t xml:space="preserve"> (eds.)</w:t>
      </w:r>
      <w:r w:rsidRPr="0072519F">
        <w:rPr>
          <w:sz w:val="16"/>
          <w:szCs w:val="16"/>
        </w:rPr>
        <w:t xml:space="preserve">, </w:t>
      </w:r>
      <w:r w:rsidRPr="0072519F">
        <w:rPr>
          <w:i/>
          <w:iCs/>
          <w:sz w:val="16"/>
          <w:szCs w:val="16"/>
        </w:rPr>
        <w:t>Handboek Estate Planning</w:t>
      </w:r>
      <w:r w:rsidRPr="0072519F">
        <w:rPr>
          <w:sz w:val="16"/>
          <w:szCs w:val="16"/>
        </w:rPr>
        <w:t xml:space="preserve">, </w:t>
      </w:r>
      <w:r w:rsidRPr="006958CD">
        <w:rPr>
          <w:i/>
          <w:iCs/>
          <w:sz w:val="16"/>
          <w:szCs w:val="16"/>
        </w:rPr>
        <w:t>Boek 1, Vermogensplanning met Effect bij Leven - Huwelijk en samenwoning</w:t>
      </w:r>
      <w:r w:rsidRPr="0072519F">
        <w:rPr>
          <w:sz w:val="16"/>
          <w:szCs w:val="16"/>
        </w:rPr>
        <w:t xml:space="preserve">, Brussel, Larcier, 2004, </w:t>
      </w:r>
      <w:r>
        <w:rPr>
          <w:sz w:val="16"/>
          <w:szCs w:val="16"/>
        </w:rPr>
        <w:t xml:space="preserve">(97) </w:t>
      </w:r>
      <w:r w:rsidRPr="0072519F">
        <w:rPr>
          <w:sz w:val="16"/>
          <w:szCs w:val="16"/>
        </w:rPr>
        <w:t>97</w:t>
      </w:r>
      <w:r>
        <w:rPr>
          <w:sz w:val="16"/>
          <w:szCs w:val="16"/>
        </w:rPr>
        <w:t xml:space="preserve">; </w:t>
      </w:r>
      <w:r w:rsidRPr="0002063A">
        <w:rPr>
          <w:sz w:val="16"/>
          <w:szCs w:val="16"/>
        </w:rPr>
        <w:t>J. VERSTRAETE, “Beschermingstechnieken (andere dan tontine- en aanwasbedingen) tussen ongehuwd samenwonenden” in K. MATTHIJS, J. VERSTRAETE, J. BAEL, Y.-H. LELEU, A. WYLLEMAN, H. CASMAN en J.-L. RENCHON</w:t>
      </w:r>
      <w:r>
        <w:rPr>
          <w:sz w:val="16"/>
          <w:szCs w:val="16"/>
        </w:rPr>
        <w:t xml:space="preserve"> (eds.)</w:t>
      </w:r>
      <w:r w:rsidRPr="0002063A">
        <w:rPr>
          <w:sz w:val="16"/>
          <w:szCs w:val="16"/>
        </w:rPr>
        <w:t xml:space="preserve">, </w:t>
      </w:r>
      <w:r w:rsidRPr="000608C8">
        <w:rPr>
          <w:i/>
          <w:iCs/>
          <w:sz w:val="16"/>
          <w:szCs w:val="16"/>
        </w:rPr>
        <w:t>Familie op maat</w:t>
      </w:r>
      <w:r w:rsidRPr="0002063A">
        <w:rPr>
          <w:sz w:val="16"/>
          <w:szCs w:val="16"/>
        </w:rPr>
        <w:t>, Mechelen, Kluwer, 2005, (25) 44.</w:t>
      </w:r>
    </w:p>
  </w:footnote>
  <w:footnote w:id="105">
    <w:p w14:paraId="500D7D4B" w14:textId="77777777" w:rsidR="00BD18A3" w:rsidRPr="009C29C1" w:rsidRDefault="00BD18A3" w:rsidP="00BD18A3">
      <w:pPr>
        <w:pStyle w:val="Voetnoottekst"/>
        <w:rPr>
          <w:lang w:val="nl-NL"/>
        </w:rPr>
      </w:pPr>
      <w:r>
        <w:rPr>
          <w:rStyle w:val="Voetnootmarkering"/>
        </w:rPr>
        <w:footnoteRef/>
      </w:r>
      <w:r>
        <w:t xml:space="preserve"> </w:t>
      </w:r>
      <w:r>
        <w:rPr>
          <w:sz w:val="16"/>
          <w:szCs w:val="16"/>
        </w:rPr>
        <w:t>I. BOONE, J. DU MONGH en A.-L. VERBEKE,</w:t>
      </w:r>
      <w:r>
        <w:rPr>
          <w:i/>
          <w:iCs/>
          <w:sz w:val="16"/>
          <w:szCs w:val="16"/>
        </w:rPr>
        <w:t xml:space="preserve"> Personen-, familie- en relatievermogensrecht, </w:t>
      </w:r>
      <w:r>
        <w:rPr>
          <w:sz w:val="16"/>
          <w:szCs w:val="16"/>
        </w:rPr>
        <w:t xml:space="preserve">Leuven, Acco, 2020, 651; </w:t>
      </w:r>
      <w:r w:rsidRPr="00971D7B">
        <w:rPr>
          <w:sz w:val="16"/>
          <w:szCs w:val="16"/>
          <w:lang w:val="nl-NL"/>
        </w:rPr>
        <w:t xml:space="preserve">F. SWENNEN, </w:t>
      </w:r>
      <w:r w:rsidRPr="00971D7B">
        <w:rPr>
          <w:i/>
          <w:iCs/>
          <w:sz w:val="16"/>
          <w:szCs w:val="16"/>
          <w:lang w:val="nl-NL"/>
        </w:rPr>
        <w:t>Het personen-</w:t>
      </w:r>
      <w:r>
        <w:rPr>
          <w:i/>
          <w:iCs/>
          <w:sz w:val="16"/>
          <w:szCs w:val="16"/>
          <w:lang w:val="nl-NL"/>
        </w:rPr>
        <w:t xml:space="preserve"> </w:t>
      </w:r>
      <w:r w:rsidRPr="00971D7B">
        <w:rPr>
          <w:i/>
          <w:iCs/>
          <w:sz w:val="16"/>
          <w:szCs w:val="16"/>
          <w:lang w:val="nl-NL"/>
        </w:rPr>
        <w:t xml:space="preserve">en </w:t>
      </w:r>
      <w:r>
        <w:rPr>
          <w:i/>
          <w:iCs/>
          <w:sz w:val="16"/>
          <w:szCs w:val="16"/>
          <w:lang w:val="nl-NL"/>
        </w:rPr>
        <w:t>f</w:t>
      </w:r>
      <w:r w:rsidRPr="00971D7B">
        <w:rPr>
          <w:i/>
          <w:iCs/>
          <w:sz w:val="16"/>
          <w:szCs w:val="16"/>
          <w:lang w:val="nl-NL"/>
        </w:rPr>
        <w:t xml:space="preserve">amilierecht, </w:t>
      </w:r>
      <w:r w:rsidRPr="00971D7B">
        <w:rPr>
          <w:sz w:val="16"/>
          <w:szCs w:val="16"/>
          <w:lang w:val="nl-NL"/>
        </w:rPr>
        <w:t>Antwerpen, Intersentia, 202</w:t>
      </w:r>
      <w:r>
        <w:rPr>
          <w:sz w:val="16"/>
          <w:szCs w:val="16"/>
          <w:lang w:val="nl-NL"/>
        </w:rPr>
        <w:t>3</w:t>
      </w:r>
      <w:r w:rsidRPr="00971D7B">
        <w:rPr>
          <w:sz w:val="16"/>
          <w:szCs w:val="16"/>
          <w:lang w:val="nl-NL"/>
        </w:rPr>
        <w:t xml:space="preserve">, </w:t>
      </w:r>
      <w:r>
        <w:rPr>
          <w:sz w:val="16"/>
          <w:szCs w:val="16"/>
          <w:lang w:val="nl-NL"/>
        </w:rPr>
        <w:t xml:space="preserve">323; </w:t>
      </w:r>
      <w:r>
        <w:rPr>
          <w:sz w:val="16"/>
          <w:szCs w:val="16"/>
        </w:rPr>
        <w:t xml:space="preserve">G. VERSCHELDEN, </w:t>
      </w:r>
      <w:r>
        <w:rPr>
          <w:i/>
          <w:iCs/>
          <w:sz w:val="16"/>
          <w:szCs w:val="16"/>
        </w:rPr>
        <w:t xml:space="preserve">Handboek Belgisch Personen-, familie- en relatievermogensrecht, </w:t>
      </w:r>
      <w:r>
        <w:rPr>
          <w:sz w:val="16"/>
          <w:szCs w:val="16"/>
        </w:rPr>
        <w:t>Brugge, die Keure, 2023, 760.</w:t>
      </w:r>
    </w:p>
  </w:footnote>
  <w:footnote w:id="106">
    <w:p w14:paraId="308C90B9" w14:textId="77777777" w:rsidR="00BD18A3" w:rsidRPr="00B97DAD" w:rsidRDefault="00BD18A3" w:rsidP="00BD18A3">
      <w:pPr>
        <w:pStyle w:val="Voetnoottekst"/>
        <w:rPr>
          <w:sz w:val="16"/>
          <w:szCs w:val="16"/>
          <w:lang w:val="nl-NL"/>
        </w:rPr>
      </w:pPr>
      <w:r>
        <w:rPr>
          <w:rStyle w:val="Voetnootmarkering"/>
        </w:rPr>
        <w:footnoteRef/>
      </w:r>
      <w:r>
        <w:t xml:space="preserve"> </w:t>
      </w:r>
      <w:r>
        <w:rPr>
          <w:sz w:val="16"/>
          <w:szCs w:val="16"/>
          <w:lang w:val="nl-NL"/>
        </w:rPr>
        <w:t>Art. 5.76, eerste lid BW.</w:t>
      </w:r>
    </w:p>
  </w:footnote>
  <w:footnote w:id="107">
    <w:p w14:paraId="1B98D7F6" w14:textId="77777777" w:rsidR="00BD18A3" w:rsidRPr="00413284" w:rsidRDefault="00BD18A3" w:rsidP="00BD18A3">
      <w:pPr>
        <w:pStyle w:val="Voetnoottekst"/>
        <w:rPr>
          <w:sz w:val="16"/>
          <w:szCs w:val="16"/>
        </w:rPr>
      </w:pPr>
      <w:r>
        <w:rPr>
          <w:rStyle w:val="Voetnootmarkering"/>
        </w:rPr>
        <w:footnoteRef/>
      </w:r>
      <w:r w:rsidRPr="00413284">
        <w:t xml:space="preserve"> </w:t>
      </w:r>
      <w:r w:rsidRPr="00413284">
        <w:rPr>
          <w:sz w:val="16"/>
          <w:szCs w:val="16"/>
        </w:rPr>
        <w:t>Art. 1477 oud BW; art. 1478, vierde lid oud BW</w:t>
      </w:r>
      <w:r>
        <w:rPr>
          <w:sz w:val="16"/>
          <w:szCs w:val="16"/>
        </w:rPr>
        <w:t xml:space="preserve">; </w:t>
      </w:r>
      <w:r w:rsidRPr="00413284">
        <w:rPr>
          <w:sz w:val="16"/>
          <w:szCs w:val="16"/>
        </w:rPr>
        <w:t>art. 2.3.1.BW</w:t>
      </w:r>
      <w:r>
        <w:rPr>
          <w:sz w:val="16"/>
          <w:szCs w:val="16"/>
        </w:rPr>
        <w:t>;</w:t>
      </w:r>
      <w:r w:rsidRPr="00413284">
        <w:rPr>
          <w:sz w:val="16"/>
          <w:szCs w:val="16"/>
        </w:rPr>
        <w:t xml:space="preserve"> </w:t>
      </w:r>
      <w:r>
        <w:rPr>
          <w:sz w:val="16"/>
          <w:szCs w:val="16"/>
        </w:rPr>
        <w:t>a</w:t>
      </w:r>
      <w:r w:rsidRPr="00413284">
        <w:rPr>
          <w:sz w:val="16"/>
          <w:szCs w:val="16"/>
        </w:rPr>
        <w:t>rt. 2.3.6. BW</w:t>
      </w:r>
      <w:r>
        <w:rPr>
          <w:sz w:val="16"/>
          <w:szCs w:val="16"/>
        </w:rPr>
        <w:t>.</w:t>
      </w:r>
    </w:p>
  </w:footnote>
  <w:footnote w:id="108">
    <w:p w14:paraId="51A1A82C" w14:textId="77777777" w:rsidR="00BD18A3" w:rsidRPr="006436F2" w:rsidRDefault="00BD18A3" w:rsidP="00BD18A3">
      <w:pPr>
        <w:pStyle w:val="Voetnoottekst"/>
      </w:pPr>
      <w:r>
        <w:rPr>
          <w:rStyle w:val="Voetnootmarkering"/>
        </w:rPr>
        <w:footnoteRef/>
      </w:r>
      <w:r w:rsidRPr="000D79C4">
        <w:t xml:space="preserve"> </w:t>
      </w:r>
      <w:r w:rsidRPr="00413284">
        <w:rPr>
          <w:sz w:val="16"/>
          <w:szCs w:val="16"/>
        </w:rPr>
        <w:t>Art. 1477 oud BW; art. 1478, vierde lid oud BW</w:t>
      </w:r>
      <w:r>
        <w:rPr>
          <w:sz w:val="16"/>
          <w:szCs w:val="16"/>
        </w:rPr>
        <w:t xml:space="preserve">; </w:t>
      </w:r>
      <w:r w:rsidRPr="00413284">
        <w:rPr>
          <w:sz w:val="16"/>
          <w:szCs w:val="16"/>
        </w:rPr>
        <w:t>art. 2.3.1.BW</w:t>
      </w:r>
      <w:r>
        <w:rPr>
          <w:sz w:val="16"/>
          <w:szCs w:val="16"/>
        </w:rPr>
        <w:t>;</w:t>
      </w:r>
      <w:r w:rsidRPr="00413284">
        <w:rPr>
          <w:sz w:val="16"/>
          <w:szCs w:val="16"/>
        </w:rPr>
        <w:t xml:space="preserve"> </w:t>
      </w:r>
      <w:r>
        <w:rPr>
          <w:sz w:val="16"/>
          <w:szCs w:val="16"/>
        </w:rPr>
        <w:t>a</w:t>
      </w:r>
      <w:r w:rsidRPr="00413284">
        <w:rPr>
          <w:sz w:val="16"/>
          <w:szCs w:val="16"/>
        </w:rPr>
        <w:t>rt. 2.3.6. BW</w:t>
      </w:r>
      <w:r>
        <w:rPr>
          <w:sz w:val="16"/>
          <w:szCs w:val="16"/>
        </w:rPr>
        <w:t>.</w:t>
      </w:r>
    </w:p>
  </w:footnote>
  <w:footnote w:id="109">
    <w:p w14:paraId="41BD757A" w14:textId="77777777" w:rsidR="00BD18A3" w:rsidRPr="000D79C4" w:rsidRDefault="00BD18A3" w:rsidP="00BD18A3">
      <w:pPr>
        <w:pStyle w:val="Voetnoottekst"/>
        <w:rPr>
          <w:sz w:val="16"/>
          <w:szCs w:val="16"/>
        </w:rPr>
      </w:pPr>
      <w:r>
        <w:rPr>
          <w:rStyle w:val="Voetnootmarkering"/>
        </w:rPr>
        <w:footnoteRef/>
      </w:r>
      <w:r w:rsidRPr="000D79C4">
        <w:t xml:space="preserve"> </w:t>
      </w:r>
      <w:r w:rsidRPr="000D79C4">
        <w:rPr>
          <w:sz w:val="16"/>
          <w:szCs w:val="16"/>
        </w:rPr>
        <w:t>Art. 5.76, tweede lid BW.</w:t>
      </w:r>
    </w:p>
  </w:footnote>
  <w:footnote w:id="110">
    <w:p w14:paraId="1C50ACD4" w14:textId="77777777" w:rsidR="00BD18A3" w:rsidRPr="00931408" w:rsidRDefault="00BD18A3" w:rsidP="00BD18A3">
      <w:pPr>
        <w:pStyle w:val="Voetnoottekst"/>
        <w:rPr>
          <w:sz w:val="16"/>
          <w:szCs w:val="16"/>
        </w:rPr>
      </w:pPr>
      <w:r>
        <w:rPr>
          <w:rStyle w:val="Voetnootmarkering"/>
        </w:rPr>
        <w:footnoteRef/>
      </w:r>
      <w:r w:rsidRPr="00931408">
        <w:t xml:space="preserve"> </w:t>
      </w:r>
      <w:r w:rsidRPr="00931408">
        <w:rPr>
          <w:sz w:val="16"/>
          <w:szCs w:val="16"/>
        </w:rPr>
        <w:t>Art. 146</w:t>
      </w:r>
      <w:r w:rsidRPr="00931408">
        <w:rPr>
          <w:i/>
          <w:iCs/>
          <w:sz w:val="16"/>
          <w:szCs w:val="16"/>
        </w:rPr>
        <w:t xml:space="preserve">bis </w:t>
      </w:r>
      <w:r w:rsidRPr="00931408">
        <w:rPr>
          <w:sz w:val="16"/>
          <w:szCs w:val="16"/>
        </w:rPr>
        <w:t>oud BW; art. 1476</w:t>
      </w:r>
      <w:r w:rsidRPr="00931408">
        <w:rPr>
          <w:i/>
          <w:iCs/>
          <w:sz w:val="16"/>
          <w:szCs w:val="16"/>
        </w:rPr>
        <w:t>bis</w:t>
      </w:r>
      <w:r w:rsidRPr="00931408">
        <w:rPr>
          <w:sz w:val="16"/>
          <w:szCs w:val="16"/>
        </w:rPr>
        <w:t xml:space="preserve"> oud BW; </w:t>
      </w:r>
      <w:r>
        <w:rPr>
          <w:sz w:val="16"/>
          <w:szCs w:val="16"/>
        </w:rPr>
        <w:t xml:space="preserve">G. VERSCHELDEN, </w:t>
      </w:r>
      <w:r>
        <w:rPr>
          <w:i/>
          <w:iCs/>
          <w:sz w:val="16"/>
          <w:szCs w:val="16"/>
        </w:rPr>
        <w:t xml:space="preserve">Handboek Belgisch Personen-, familie- en relatievermogensrecht, </w:t>
      </w:r>
      <w:r>
        <w:rPr>
          <w:sz w:val="16"/>
          <w:szCs w:val="16"/>
        </w:rPr>
        <w:t>Brugge, die Keure, 2023, 621.</w:t>
      </w:r>
    </w:p>
  </w:footnote>
  <w:footnote w:id="111">
    <w:p w14:paraId="5E02FCE2" w14:textId="77777777" w:rsidR="00BD18A3" w:rsidRPr="00146E07" w:rsidRDefault="00BD18A3" w:rsidP="00BD18A3">
      <w:pPr>
        <w:pStyle w:val="Voetnoottekst"/>
        <w:rPr>
          <w:lang w:val="en-US"/>
        </w:rPr>
      </w:pPr>
      <w:r>
        <w:rPr>
          <w:rStyle w:val="Voetnootmarkering"/>
        </w:rPr>
        <w:footnoteRef/>
      </w:r>
      <w:r w:rsidRPr="00146E07">
        <w:rPr>
          <w:lang w:val="en-US"/>
        </w:rPr>
        <w:t xml:space="preserve"> </w:t>
      </w:r>
      <w:r w:rsidRPr="00146E07">
        <w:rPr>
          <w:sz w:val="16"/>
          <w:szCs w:val="16"/>
          <w:lang w:val="en-US"/>
        </w:rPr>
        <w:t>Art. 227 oud BW; art. 1476, § 2 oud BW.</w:t>
      </w:r>
    </w:p>
  </w:footnote>
  <w:footnote w:id="112">
    <w:p w14:paraId="33AC48F6" w14:textId="77777777" w:rsidR="00BD18A3" w:rsidRPr="00146E07" w:rsidRDefault="00BD18A3" w:rsidP="00BD18A3">
      <w:pPr>
        <w:pStyle w:val="Voetnoottekst"/>
        <w:rPr>
          <w:sz w:val="16"/>
          <w:szCs w:val="16"/>
          <w:lang w:val="en-US"/>
        </w:rPr>
      </w:pPr>
      <w:r>
        <w:rPr>
          <w:rStyle w:val="Voetnootmarkering"/>
        </w:rPr>
        <w:footnoteRef/>
      </w:r>
      <w:r w:rsidRPr="00146E07">
        <w:rPr>
          <w:lang w:val="en-US"/>
        </w:rPr>
        <w:t xml:space="preserve"> </w:t>
      </w:r>
      <w:r w:rsidRPr="00146E07">
        <w:rPr>
          <w:sz w:val="16"/>
          <w:szCs w:val="16"/>
          <w:lang w:val="en-US"/>
        </w:rPr>
        <w:t>Art. 215, § 1 oud BW; art. 1477, § 2 oud BW.</w:t>
      </w:r>
    </w:p>
  </w:footnote>
  <w:footnote w:id="113">
    <w:p w14:paraId="7377DD8E" w14:textId="77777777" w:rsidR="00BD18A3" w:rsidRPr="00146E07" w:rsidRDefault="00BD18A3" w:rsidP="00BD18A3">
      <w:pPr>
        <w:pStyle w:val="Voetnoottekst"/>
        <w:rPr>
          <w:sz w:val="16"/>
          <w:szCs w:val="16"/>
          <w:lang w:val="en-US"/>
        </w:rPr>
      </w:pPr>
      <w:r>
        <w:rPr>
          <w:rStyle w:val="Voetnootmarkering"/>
        </w:rPr>
        <w:footnoteRef/>
      </w:r>
      <w:r w:rsidRPr="00146E07">
        <w:rPr>
          <w:lang w:val="en-US"/>
        </w:rPr>
        <w:t xml:space="preserve"> </w:t>
      </w:r>
      <w:r w:rsidRPr="00146E07">
        <w:rPr>
          <w:sz w:val="16"/>
          <w:szCs w:val="16"/>
          <w:lang w:val="en-US"/>
        </w:rPr>
        <w:t>Art. 215, § 2 oud BW; art. 1477, § 2 oud BW.</w:t>
      </w:r>
    </w:p>
  </w:footnote>
  <w:footnote w:id="114">
    <w:p w14:paraId="587B88C5" w14:textId="77777777" w:rsidR="00BD18A3" w:rsidRPr="00146E07" w:rsidRDefault="00BD18A3" w:rsidP="00BD18A3">
      <w:pPr>
        <w:pStyle w:val="Voetnoottekst"/>
        <w:rPr>
          <w:sz w:val="16"/>
          <w:szCs w:val="16"/>
          <w:lang w:val="en-US"/>
        </w:rPr>
      </w:pPr>
      <w:r>
        <w:rPr>
          <w:rStyle w:val="Voetnootmarkering"/>
        </w:rPr>
        <w:footnoteRef/>
      </w:r>
      <w:r w:rsidRPr="00146E07">
        <w:rPr>
          <w:lang w:val="en-US"/>
        </w:rPr>
        <w:t xml:space="preserve"> </w:t>
      </w:r>
      <w:r w:rsidRPr="00146E07">
        <w:rPr>
          <w:sz w:val="16"/>
          <w:szCs w:val="16"/>
          <w:lang w:val="en-US"/>
        </w:rPr>
        <w:t>Art. 224, § 1, 1</w:t>
      </w:r>
      <w:r>
        <w:rPr>
          <w:sz w:val="16"/>
          <w:szCs w:val="16"/>
          <w:lang w:val="en-US"/>
        </w:rPr>
        <w:t>°</w:t>
      </w:r>
      <w:r w:rsidRPr="00146E07">
        <w:rPr>
          <w:sz w:val="16"/>
          <w:szCs w:val="16"/>
          <w:lang w:val="en-US"/>
        </w:rPr>
        <w:t xml:space="preserve"> oud BW; art. 1477, § 2 oud BW.</w:t>
      </w:r>
    </w:p>
  </w:footnote>
  <w:footnote w:id="115">
    <w:p w14:paraId="163AD4E5" w14:textId="77777777" w:rsidR="00BD18A3" w:rsidRPr="00F45A10" w:rsidRDefault="00BD18A3" w:rsidP="00BD18A3">
      <w:pPr>
        <w:pStyle w:val="Voetnoottekst"/>
        <w:rPr>
          <w:sz w:val="16"/>
          <w:szCs w:val="16"/>
        </w:rPr>
      </w:pPr>
      <w:r>
        <w:rPr>
          <w:rStyle w:val="Voetnootmarkering"/>
        </w:rPr>
        <w:footnoteRef/>
      </w:r>
      <w:r>
        <w:t xml:space="preserve"> </w:t>
      </w:r>
      <w:r>
        <w:rPr>
          <w:sz w:val="16"/>
          <w:szCs w:val="16"/>
        </w:rPr>
        <w:t>Art. 221, eerste lid oud BW; art. 1477, § 3 oud BW.</w:t>
      </w:r>
    </w:p>
  </w:footnote>
  <w:footnote w:id="116">
    <w:p w14:paraId="6A061B2C" w14:textId="77777777" w:rsidR="00BD18A3" w:rsidRPr="009943FF" w:rsidRDefault="00BD18A3" w:rsidP="00BD18A3">
      <w:pPr>
        <w:pStyle w:val="Voetnoottekst"/>
        <w:rPr>
          <w:sz w:val="16"/>
          <w:szCs w:val="16"/>
          <w:lang w:val="en-US"/>
        </w:rPr>
      </w:pPr>
      <w:r>
        <w:rPr>
          <w:rStyle w:val="Voetnootmarkering"/>
        </w:rPr>
        <w:footnoteRef/>
      </w:r>
      <w:r w:rsidRPr="009943FF">
        <w:rPr>
          <w:lang w:val="en-US"/>
        </w:rPr>
        <w:t xml:space="preserve"> </w:t>
      </w:r>
      <w:r w:rsidRPr="009943FF">
        <w:rPr>
          <w:sz w:val="16"/>
          <w:szCs w:val="16"/>
          <w:lang w:val="en-US"/>
        </w:rPr>
        <w:t>Art. 222 oud BW; art. 1477, § 4 oud BW.</w:t>
      </w:r>
    </w:p>
  </w:footnote>
  <w:footnote w:id="117">
    <w:p w14:paraId="074D59DA" w14:textId="77777777" w:rsidR="00BD18A3" w:rsidRPr="00490807" w:rsidRDefault="00BD18A3" w:rsidP="00BD18A3">
      <w:pPr>
        <w:pStyle w:val="Voetnoottekst"/>
        <w:rPr>
          <w:sz w:val="16"/>
          <w:szCs w:val="16"/>
        </w:rPr>
      </w:pPr>
      <w:r>
        <w:rPr>
          <w:rStyle w:val="Voetnootmarkering"/>
        </w:rPr>
        <w:footnoteRef/>
      </w:r>
      <w:r>
        <w:t xml:space="preserve"> </w:t>
      </w:r>
      <w:r>
        <w:rPr>
          <w:sz w:val="16"/>
          <w:szCs w:val="16"/>
        </w:rPr>
        <w:t>Art. 213 oud BW.</w:t>
      </w:r>
    </w:p>
  </w:footnote>
  <w:footnote w:id="118">
    <w:p w14:paraId="3D7CC521" w14:textId="77777777" w:rsidR="00BD18A3" w:rsidRPr="00C96180" w:rsidRDefault="00BD18A3" w:rsidP="00BD18A3">
      <w:pPr>
        <w:pStyle w:val="Voetnoottekst"/>
        <w:rPr>
          <w:sz w:val="16"/>
          <w:szCs w:val="16"/>
        </w:rPr>
      </w:pPr>
      <w:r>
        <w:rPr>
          <w:rStyle w:val="Voetnootmarkering"/>
        </w:rPr>
        <w:footnoteRef/>
      </w:r>
      <w:r w:rsidRPr="00F90AC9">
        <w:t xml:space="preserve"> </w:t>
      </w:r>
      <w:r>
        <w:rPr>
          <w:sz w:val="16"/>
          <w:szCs w:val="16"/>
        </w:rPr>
        <w:t>A</w:t>
      </w:r>
      <w:r w:rsidRPr="007762B6">
        <w:rPr>
          <w:sz w:val="16"/>
          <w:szCs w:val="16"/>
        </w:rPr>
        <w:t>rt. 1478 §</w:t>
      </w:r>
      <w:r>
        <w:rPr>
          <w:sz w:val="16"/>
          <w:szCs w:val="16"/>
        </w:rPr>
        <w:t xml:space="preserve"> </w:t>
      </w:r>
      <w:r w:rsidRPr="007762B6">
        <w:rPr>
          <w:sz w:val="16"/>
          <w:szCs w:val="16"/>
        </w:rPr>
        <w:t xml:space="preserve">1, vierde lid oud </w:t>
      </w:r>
      <w:r>
        <w:rPr>
          <w:sz w:val="16"/>
          <w:szCs w:val="16"/>
        </w:rPr>
        <w:t>BW; a</w:t>
      </w:r>
      <w:r w:rsidRPr="00F90AC9">
        <w:rPr>
          <w:sz w:val="16"/>
          <w:szCs w:val="16"/>
        </w:rPr>
        <w:t xml:space="preserve">rt. 2.3.6. </w:t>
      </w:r>
      <w:r w:rsidRPr="00C96180">
        <w:rPr>
          <w:sz w:val="16"/>
          <w:szCs w:val="16"/>
        </w:rPr>
        <w:t>BW.</w:t>
      </w:r>
    </w:p>
  </w:footnote>
  <w:footnote w:id="119">
    <w:p w14:paraId="76A36105"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2.3.64, § 3 BW; art. 2.2.81, § 2, tweede lid BW.</w:t>
      </w:r>
    </w:p>
  </w:footnote>
  <w:footnote w:id="120">
    <w:p w14:paraId="74CDFB71" w14:textId="77777777" w:rsidR="00BD18A3" w:rsidRPr="00747F8A" w:rsidRDefault="00BD18A3" w:rsidP="00BD18A3">
      <w:pPr>
        <w:pStyle w:val="Voetnoottekst"/>
        <w:rPr>
          <w:sz w:val="16"/>
          <w:szCs w:val="16"/>
        </w:rPr>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121">
    <w:p w14:paraId="1D341D5B" w14:textId="77777777" w:rsidR="00BD18A3" w:rsidRPr="00814544" w:rsidRDefault="00BD18A3" w:rsidP="00BD18A3">
      <w:pPr>
        <w:pStyle w:val="Voetnoottekst"/>
        <w:rPr>
          <w:sz w:val="16"/>
          <w:szCs w:val="16"/>
          <w:lang w:val="en-US"/>
        </w:rPr>
      </w:pPr>
      <w:r>
        <w:rPr>
          <w:rStyle w:val="Voetnootmarkering"/>
        </w:rPr>
        <w:footnoteRef/>
      </w:r>
      <w:r w:rsidRPr="00814544">
        <w:rPr>
          <w:lang w:val="en-US"/>
        </w:rPr>
        <w:t xml:space="preserve"> </w:t>
      </w:r>
      <w:r w:rsidRPr="00814544">
        <w:rPr>
          <w:sz w:val="16"/>
          <w:szCs w:val="16"/>
          <w:lang w:val="en-US"/>
        </w:rPr>
        <w:t>Art. 227 oud BW.</w:t>
      </w:r>
    </w:p>
  </w:footnote>
  <w:footnote w:id="122">
    <w:p w14:paraId="7356F6E9" w14:textId="77777777" w:rsidR="00BD18A3" w:rsidRPr="0012620A" w:rsidRDefault="00BD18A3" w:rsidP="00BD18A3">
      <w:pPr>
        <w:pStyle w:val="Voetnoottekst"/>
        <w:rPr>
          <w:sz w:val="16"/>
          <w:szCs w:val="16"/>
          <w:lang w:val="en-US"/>
        </w:rPr>
      </w:pPr>
      <w:r>
        <w:rPr>
          <w:rStyle w:val="Voetnootmarkering"/>
        </w:rPr>
        <w:footnoteRef/>
      </w:r>
      <w:r w:rsidRPr="0012620A">
        <w:rPr>
          <w:lang w:val="en-US"/>
        </w:rPr>
        <w:t xml:space="preserve"> </w:t>
      </w:r>
      <w:r w:rsidRPr="0012620A">
        <w:rPr>
          <w:sz w:val="16"/>
          <w:szCs w:val="16"/>
          <w:lang w:val="en-US"/>
        </w:rPr>
        <w:t>Art. 229, §</w:t>
      </w:r>
      <w:r>
        <w:rPr>
          <w:sz w:val="16"/>
          <w:szCs w:val="16"/>
          <w:lang w:val="en-US"/>
        </w:rPr>
        <w:t xml:space="preserve"> </w:t>
      </w:r>
      <w:r w:rsidRPr="0012620A">
        <w:rPr>
          <w:sz w:val="16"/>
          <w:szCs w:val="16"/>
          <w:lang w:val="en-US"/>
        </w:rPr>
        <w:t>1</w:t>
      </w:r>
      <w:r>
        <w:rPr>
          <w:sz w:val="16"/>
          <w:szCs w:val="16"/>
          <w:lang w:val="en-US"/>
        </w:rPr>
        <w:t xml:space="preserve"> oud BW; art. 230</w:t>
      </w:r>
      <w:r w:rsidRPr="0012620A">
        <w:rPr>
          <w:sz w:val="16"/>
          <w:szCs w:val="16"/>
          <w:lang w:val="en-US"/>
        </w:rPr>
        <w:t xml:space="preserve"> oud BW.</w:t>
      </w:r>
    </w:p>
  </w:footnote>
  <w:footnote w:id="123">
    <w:p w14:paraId="6A4B3417" w14:textId="77777777" w:rsidR="00BD18A3" w:rsidRPr="008B566B" w:rsidRDefault="00BD18A3" w:rsidP="00BD18A3">
      <w:pPr>
        <w:pStyle w:val="Voetnoottekst"/>
        <w:rPr>
          <w:sz w:val="16"/>
          <w:szCs w:val="16"/>
          <w:lang w:val="en-US"/>
        </w:rPr>
      </w:pPr>
      <w:r>
        <w:rPr>
          <w:rStyle w:val="Voetnootmarkering"/>
        </w:rPr>
        <w:footnoteRef/>
      </w:r>
      <w:r w:rsidRPr="008B566B">
        <w:rPr>
          <w:lang w:val="en-US"/>
        </w:rPr>
        <w:t xml:space="preserve"> </w:t>
      </w:r>
      <w:r w:rsidRPr="008B566B">
        <w:rPr>
          <w:sz w:val="16"/>
          <w:szCs w:val="16"/>
          <w:lang w:val="en-US"/>
        </w:rPr>
        <w:t>Art. 5.69 BW.</w:t>
      </w:r>
    </w:p>
  </w:footnote>
  <w:footnote w:id="124">
    <w:p w14:paraId="621A427A" w14:textId="77777777" w:rsidR="00BD18A3" w:rsidRPr="008B566B" w:rsidRDefault="00BD18A3" w:rsidP="00BD18A3">
      <w:pPr>
        <w:pStyle w:val="Voetnoottekst"/>
        <w:rPr>
          <w:lang w:val="en-US"/>
        </w:rPr>
      </w:pPr>
      <w:r>
        <w:rPr>
          <w:rStyle w:val="Voetnootmarkering"/>
        </w:rPr>
        <w:footnoteRef/>
      </w:r>
      <w:r w:rsidRPr="008B566B">
        <w:rPr>
          <w:lang w:val="en-US"/>
        </w:rPr>
        <w:t xml:space="preserve"> </w:t>
      </w:r>
      <w:r w:rsidRPr="008B566B">
        <w:rPr>
          <w:sz w:val="16"/>
          <w:szCs w:val="16"/>
          <w:lang w:val="en-US"/>
        </w:rPr>
        <w:t>Art. 1476, § 2 oud BW.</w:t>
      </w:r>
    </w:p>
  </w:footnote>
  <w:footnote w:id="125">
    <w:p w14:paraId="24752048" w14:textId="77777777" w:rsidR="00BD18A3" w:rsidRPr="0036302F" w:rsidRDefault="00BD18A3" w:rsidP="00BD18A3">
      <w:pPr>
        <w:pStyle w:val="Voetnoottekst"/>
      </w:pPr>
      <w:r>
        <w:rPr>
          <w:rStyle w:val="Voetnootmarkering"/>
        </w:rPr>
        <w:footnoteRef/>
      </w:r>
      <w:r>
        <w:t xml:space="preserve"> </w:t>
      </w:r>
      <w:r>
        <w:rPr>
          <w:sz w:val="16"/>
          <w:szCs w:val="16"/>
        </w:rPr>
        <w:t>Art. 5.69 BW.</w:t>
      </w:r>
    </w:p>
  </w:footnote>
  <w:footnote w:id="126">
    <w:p w14:paraId="3C643B74" w14:textId="77777777" w:rsidR="00BD18A3" w:rsidRPr="009A591E" w:rsidRDefault="00BD18A3" w:rsidP="00BD18A3">
      <w:pPr>
        <w:pStyle w:val="Voetnoottekst"/>
        <w:rPr>
          <w:sz w:val="16"/>
          <w:szCs w:val="16"/>
          <w:lang w:val="nl-NL"/>
        </w:rPr>
      </w:pPr>
      <w:r>
        <w:rPr>
          <w:rStyle w:val="Voetnootmarkering"/>
        </w:rPr>
        <w:footnoteRef/>
      </w:r>
      <w:r>
        <w:t xml:space="preserve"> </w:t>
      </w:r>
      <w:r>
        <w:rPr>
          <w:sz w:val="16"/>
          <w:szCs w:val="16"/>
          <w:lang w:val="nl-NL"/>
        </w:rPr>
        <w:t>Art. 2.3.82, eerste lid BW.</w:t>
      </w:r>
    </w:p>
  </w:footnote>
  <w:footnote w:id="127">
    <w:p w14:paraId="6C49AE0D" w14:textId="77777777" w:rsidR="00BD18A3" w:rsidRPr="00541C8D" w:rsidRDefault="00BD18A3" w:rsidP="00BD18A3">
      <w:pPr>
        <w:pStyle w:val="Voetnoottekst"/>
        <w:rPr>
          <w:sz w:val="16"/>
          <w:szCs w:val="16"/>
          <w:lang w:val="nl-NL"/>
        </w:rPr>
      </w:pPr>
      <w:r>
        <w:rPr>
          <w:rStyle w:val="Voetnootmarkering"/>
        </w:rPr>
        <w:footnoteRef/>
      </w:r>
      <w:r>
        <w:t xml:space="preserve"> </w:t>
      </w:r>
      <w:r>
        <w:rPr>
          <w:sz w:val="16"/>
          <w:szCs w:val="16"/>
        </w:rPr>
        <w:t>Art. 2.3.82, eerste id, 1° BW.</w:t>
      </w:r>
    </w:p>
  </w:footnote>
  <w:footnote w:id="128">
    <w:p w14:paraId="61A70B8D" w14:textId="77777777" w:rsidR="00BD18A3" w:rsidRPr="00541C8D" w:rsidRDefault="00BD18A3" w:rsidP="00BD18A3">
      <w:pPr>
        <w:pStyle w:val="Voetnoottekst"/>
        <w:rPr>
          <w:sz w:val="16"/>
          <w:szCs w:val="16"/>
        </w:rPr>
      </w:pPr>
      <w:r>
        <w:rPr>
          <w:rStyle w:val="Voetnootmarkering"/>
        </w:rPr>
        <w:footnoteRef/>
      </w:r>
      <w:r>
        <w:t xml:space="preserve"> </w:t>
      </w:r>
      <w:r>
        <w:rPr>
          <w:sz w:val="16"/>
          <w:szCs w:val="16"/>
        </w:rPr>
        <w:t>Art. 2.3.11 BW.</w:t>
      </w:r>
    </w:p>
  </w:footnote>
  <w:footnote w:id="129">
    <w:p w14:paraId="6073108A" w14:textId="77777777" w:rsidR="00BD18A3" w:rsidRPr="009A591E" w:rsidRDefault="00BD18A3" w:rsidP="00BD18A3">
      <w:pPr>
        <w:pStyle w:val="Voetnoottekst"/>
        <w:rPr>
          <w:sz w:val="16"/>
          <w:szCs w:val="16"/>
        </w:rPr>
      </w:pPr>
      <w:r>
        <w:rPr>
          <w:rStyle w:val="Voetnootmarkering"/>
        </w:rPr>
        <w:footnoteRef/>
      </w:r>
      <w:r>
        <w:t xml:space="preserve"> </w:t>
      </w:r>
      <w:r>
        <w:rPr>
          <w:sz w:val="16"/>
          <w:szCs w:val="16"/>
        </w:rPr>
        <w:t>Art. 2.3.82, eerste id, 1° BW.</w:t>
      </w:r>
    </w:p>
  </w:footnote>
  <w:footnote w:id="130">
    <w:p w14:paraId="394E62B0" w14:textId="77777777" w:rsidR="00BD18A3" w:rsidRPr="00505F9C" w:rsidRDefault="00BD18A3" w:rsidP="00BD18A3">
      <w:pPr>
        <w:pStyle w:val="Voetnoottekst"/>
        <w:rPr>
          <w:sz w:val="16"/>
          <w:szCs w:val="16"/>
        </w:rPr>
      </w:pPr>
      <w:r>
        <w:rPr>
          <w:rStyle w:val="Voetnootmarkering"/>
        </w:rPr>
        <w:footnoteRef/>
      </w:r>
      <w:r>
        <w:t xml:space="preserve"> </w:t>
      </w:r>
      <w:r>
        <w:rPr>
          <w:sz w:val="16"/>
          <w:szCs w:val="16"/>
        </w:rPr>
        <w:t xml:space="preserve">Art. 2.3.82, eerste lid, 2° BW; Verord.Raad en Parlement nr. 2016/679, 27 april 2016 betreffende de bescherming van natuurlijke personen in verband met de verwerking van persoonsgegevens en betreffende het vrije verkeer van die gegevens en tot intrekkking van Richtlijn 95/46/EG, </w:t>
      </w:r>
      <w:r>
        <w:rPr>
          <w:i/>
          <w:iCs/>
          <w:sz w:val="16"/>
          <w:szCs w:val="16"/>
        </w:rPr>
        <w:t xml:space="preserve">Pb.L. </w:t>
      </w:r>
      <w:r>
        <w:rPr>
          <w:sz w:val="16"/>
          <w:szCs w:val="16"/>
        </w:rPr>
        <w:t>4 mei 2016.</w:t>
      </w:r>
    </w:p>
  </w:footnote>
  <w:footnote w:id="131">
    <w:p w14:paraId="0F2CCAA3" w14:textId="77777777" w:rsidR="00BD18A3" w:rsidRPr="00A21475" w:rsidRDefault="00BD18A3" w:rsidP="00BD18A3">
      <w:pPr>
        <w:pStyle w:val="Voetnoottekst"/>
      </w:pPr>
      <w:r>
        <w:rPr>
          <w:rStyle w:val="Voetnootmarkering"/>
        </w:rPr>
        <w:footnoteRef/>
      </w:r>
      <w:r>
        <w:t xml:space="preserve"> </w:t>
      </w:r>
      <w:r>
        <w:rPr>
          <w:sz w:val="16"/>
          <w:szCs w:val="16"/>
        </w:rPr>
        <w:t>Art. 2.3.82, eerste lid, 2° BW.</w:t>
      </w:r>
    </w:p>
  </w:footnote>
  <w:footnote w:id="132">
    <w:p w14:paraId="44669ABE" w14:textId="77777777" w:rsidR="00BD18A3" w:rsidRPr="00C063C7" w:rsidRDefault="00BD18A3" w:rsidP="00BD18A3">
      <w:pPr>
        <w:pStyle w:val="Voetnoottekst"/>
        <w:rPr>
          <w:sz w:val="16"/>
          <w:szCs w:val="16"/>
        </w:rPr>
      </w:pPr>
      <w:r>
        <w:rPr>
          <w:rStyle w:val="Voetnootmarkering"/>
        </w:rPr>
        <w:footnoteRef/>
      </w:r>
      <w:r>
        <w:t xml:space="preserve"> </w:t>
      </w:r>
      <w:r>
        <w:rPr>
          <w:sz w:val="16"/>
          <w:szCs w:val="16"/>
        </w:rPr>
        <w:t xml:space="preserve">Verord.Raad en Parlement nr. 2016/679, 27 april 2016 betreffende de bescherming van natuurlijke personen in verband met de verwerking van persoonsgegevens en betreffende het vrije verkeer van die gegevens en tot intrekkking van Richtlijn 95/46/EG, </w:t>
      </w:r>
      <w:r>
        <w:rPr>
          <w:i/>
          <w:iCs/>
          <w:sz w:val="16"/>
          <w:szCs w:val="16"/>
        </w:rPr>
        <w:t xml:space="preserve">Pb.L. </w:t>
      </w:r>
      <w:r>
        <w:rPr>
          <w:sz w:val="16"/>
          <w:szCs w:val="16"/>
        </w:rPr>
        <w:t>4 mei 2016.</w:t>
      </w:r>
    </w:p>
  </w:footnote>
  <w:footnote w:id="133">
    <w:p w14:paraId="2F4B4876" w14:textId="77777777" w:rsidR="00BD18A3" w:rsidRPr="00AF61A8" w:rsidRDefault="00BD18A3" w:rsidP="00BD18A3">
      <w:pPr>
        <w:pStyle w:val="Voetnoottekst"/>
        <w:rPr>
          <w:lang w:val="nl-NL"/>
        </w:rPr>
      </w:pPr>
      <w:r>
        <w:rPr>
          <w:rStyle w:val="Voetnootmarkering"/>
        </w:rPr>
        <w:footnoteRef/>
      </w:r>
      <w:r>
        <w:t xml:space="preserve"> </w:t>
      </w:r>
      <w:r>
        <w:rPr>
          <w:sz w:val="16"/>
          <w:szCs w:val="16"/>
          <w:lang w:val="nl-NL"/>
        </w:rPr>
        <w:t>Art. 5.77, tweede lid BW.</w:t>
      </w:r>
    </w:p>
  </w:footnote>
  <w:footnote w:id="134">
    <w:p w14:paraId="76279DBF" w14:textId="77777777" w:rsidR="00BD18A3" w:rsidRPr="00AF61A8" w:rsidRDefault="00BD18A3" w:rsidP="00BD18A3">
      <w:pPr>
        <w:pStyle w:val="Voetnoottekst"/>
        <w:rPr>
          <w:sz w:val="16"/>
          <w:szCs w:val="16"/>
          <w:lang w:val="nl-NL"/>
        </w:rPr>
      </w:pPr>
      <w:r>
        <w:rPr>
          <w:rStyle w:val="Voetnootmarkering"/>
        </w:rPr>
        <w:footnoteRef/>
      </w:r>
      <w:r>
        <w:t xml:space="preserve"> </w:t>
      </w:r>
      <w:r>
        <w:rPr>
          <w:sz w:val="16"/>
          <w:szCs w:val="16"/>
          <w:lang w:val="nl-NL"/>
        </w:rPr>
        <w:t>Art. 5.78, derde lid BW.</w:t>
      </w:r>
    </w:p>
  </w:footnote>
  <w:footnote w:id="135">
    <w:p w14:paraId="68DBA225" w14:textId="77777777" w:rsidR="00BD18A3" w:rsidRPr="00A239FD" w:rsidRDefault="00BD18A3" w:rsidP="00BD18A3">
      <w:pPr>
        <w:pStyle w:val="Voetnoottekst"/>
      </w:pPr>
      <w:r>
        <w:rPr>
          <w:rStyle w:val="Voetnootmarkering"/>
        </w:rPr>
        <w:footnoteRef/>
      </w:r>
      <w:r>
        <w:t xml:space="preserve"> </w:t>
      </w:r>
      <w:r>
        <w:rPr>
          <w:sz w:val="16"/>
          <w:szCs w:val="16"/>
          <w:lang w:val="nl-NL"/>
        </w:rPr>
        <w:t>Art. 5.77, tweede lid BW; art. 5.78, derde lid BW.</w:t>
      </w:r>
    </w:p>
  </w:footnote>
  <w:footnote w:id="136">
    <w:p w14:paraId="4CE845B9" w14:textId="77777777" w:rsidR="00BD18A3" w:rsidRPr="00CF6B44" w:rsidRDefault="00BD18A3" w:rsidP="00BD18A3">
      <w:pPr>
        <w:pStyle w:val="Voetnoottekst"/>
        <w:rPr>
          <w:sz w:val="16"/>
          <w:szCs w:val="16"/>
          <w:lang w:val="nl-NL"/>
        </w:rPr>
      </w:pPr>
      <w:r>
        <w:rPr>
          <w:rStyle w:val="Voetnootmarkering"/>
        </w:rPr>
        <w:footnoteRef/>
      </w:r>
      <w:r>
        <w:t xml:space="preserve"> </w:t>
      </w:r>
      <w:r>
        <w:rPr>
          <w:sz w:val="16"/>
          <w:szCs w:val="16"/>
          <w:lang w:val="nl-NL"/>
        </w:rPr>
        <w:t xml:space="preserve">S. STIJNS, </w:t>
      </w:r>
      <w:r>
        <w:rPr>
          <w:i/>
          <w:iCs/>
          <w:sz w:val="16"/>
          <w:szCs w:val="16"/>
          <w:lang w:val="nl-NL"/>
        </w:rPr>
        <w:t>Leerboek verbintenissenrecht</w:t>
      </w:r>
      <w:r>
        <w:rPr>
          <w:sz w:val="16"/>
          <w:szCs w:val="16"/>
          <w:lang w:val="nl-NL"/>
        </w:rPr>
        <w:t xml:space="preserve"> - </w:t>
      </w:r>
      <w:r>
        <w:rPr>
          <w:i/>
          <w:iCs/>
          <w:sz w:val="16"/>
          <w:szCs w:val="16"/>
          <w:lang w:val="nl-NL"/>
        </w:rPr>
        <w:t xml:space="preserve">Boek 1, </w:t>
      </w:r>
      <w:r w:rsidRPr="00B87429">
        <w:rPr>
          <w:sz w:val="16"/>
          <w:szCs w:val="16"/>
          <w:lang w:val="nl-NL"/>
        </w:rPr>
        <w:t>Brugge, die Keure, 2022, 36-37.</w:t>
      </w:r>
    </w:p>
  </w:footnote>
  <w:footnote w:id="137">
    <w:p w14:paraId="05C7B3B6" w14:textId="77777777" w:rsidR="00BD18A3" w:rsidRPr="00ED05EC" w:rsidRDefault="00BD18A3" w:rsidP="00BD18A3">
      <w:pPr>
        <w:pStyle w:val="Voetnoottekst"/>
        <w:rPr>
          <w:sz w:val="16"/>
          <w:szCs w:val="16"/>
          <w:lang w:val="nl-NL"/>
        </w:rPr>
      </w:pPr>
      <w:r>
        <w:rPr>
          <w:rStyle w:val="Voetnootmarkering"/>
        </w:rPr>
        <w:footnoteRef/>
      </w:r>
      <w:r>
        <w:t xml:space="preserve"> </w:t>
      </w:r>
      <w:r>
        <w:rPr>
          <w:sz w:val="16"/>
          <w:szCs w:val="16"/>
        </w:rPr>
        <w:t>Art. 5.77, eerste lid BW.</w:t>
      </w:r>
    </w:p>
  </w:footnote>
  <w:footnote w:id="138">
    <w:p w14:paraId="5945F700" w14:textId="77777777" w:rsidR="00BD18A3" w:rsidRPr="008B3A1A" w:rsidRDefault="00BD18A3" w:rsidP="00BD18A3">
      <w:pPr>
        <w:pStyle w:val="Voetnoottekst"/>
        <w:rPr>
          <w:sz w:val="16"/>
          <w:szCs w:val="16"/>
          <w:lang w:val="nl-NL"/>
        </w:rPr>
      </w:pPr>
      <w:r>
        <w:rPr>
          <w:rStyle w:val="Voetnootmarkering"/>
        </w:rPr>
        <w:footnoteRef/>
      </w:r>
      <w:r>
        <w:t xml:space="preserve"> </w:t>
      </w:r>
      <w:r>
        <w:rPr>
          <w:sz w:val="16"/>
          <w:szCs w:val="16"/>
          <w:lang w:val="nl-NL"/>
        </w:rPr>
        <w:t>Art. 5.77, tweede lid BW.</w:t>
      </w:r>
    </w:p>
  </w:footnote>
  <w:footnote w:id="139">
    <w:p w14:paraId="6C21A971" w14:textId="77777777" w:rsidR="00BD18A3" w:rsidRPr="00747F8A" w:rsidRDefault="00BD18A3" w:rsidP="00BD18A3">
      <w:pPr>
        <w:pStyle w:val="Voetnoottekst"/>
        <w:rPr>
          <w:sz w:val="16"/>
          <w:szCs w:val="16"/>
        </w:rPr>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 art. 2.2.81, § 2, tweede lid BW; art. 2.3.64, § 3 BW.</w:t>
      </w:r>
    </w:p>
  </w:footnote>
  <w:footnote w:id="140">
    <w:p w14:paraId="626E4A36" w14:textId="77777777" w:rsidR="00BD18A3" w:rsidRPr="0062531B" w:rsidRDefault="00BD18A3" w:rsidP="00BD18A3">
      <w:pPr>
        <w:pStyle w:val="Voetnoottekst"/>
        <w:rPr>
          <w:lang w:val="nl-NL"/>
        </w:rPr>
      </w:pPr>
      <w:r>
        <w:rPr>
          <w:rStyle w:val="Voetnootmarkering"/>
        </w:rPr>
        <w:footnoteRef/>
      </w:r>
      <w:r w:rsidRPr="0048245B">
        <w:t xml:space="preserve"> </w:t>
      </w:r>
      <w:r>
        <w:rPr>
          <w:sz w:val="16"/>
          <w:szCs w:val="16"/>
        </w:rPr>
        <w:t>A</w:t>
      </w:r>
      <w:r w:rsidRPr="000131A9">
        <w:rPr>
          <w:sz w:val="16"/>
          <w:szCs w:val="16"/>
        </w:rPr>
        <w:t>rt. 1478, vierde lid ou</w:t>
      </w:r>
      <w:r>
        <w:rPr>
          <w:sz w:val="16"/>
          <w:szCs w:val="16"/>
        </w:rPr>
        <w:t>d BW; a</w:t>
      </w:r>
      <w:r w:rsidRPr="0048245B">
        <w:rPr>
          <w:sz w:val="16"/>
          <w:szCs w:val="16"/>
        </w:rPr>
        <w:t xml:space="preserve">rt. 2.3.6. </w:t>
      </w:r>
      <w:r w:rsidRPr="000131A9">
        <w:rPr>
          <w:sz w:val="16"/>
          <w:szCs w:val="16"/>
        </w:rPr>
        <w:t>BW</w:t>
      </w:r>
      <w:r>
        <w:rPr>
          <w:sz w:val="16"/>
          <w:szCs w:val="16"/>
        </w:rPr>
        <w:t>.</w:t>
      </w:r>
    </w:p>
  </w:footnote>
  <w:footnote w:id="141">
    <w:p w14:paraId="3C21E4B1" w14:textId="77777777" w:rsidR="00BD18A3" w:rsidRPr="00696A5D" w:rsidRDefault="00BD18A3" w:rsidP="00BD18A3">
      <w:pPr>
        <w:pStyle w:val="Voetnoottekst"/>
        <w:rPr>
          <w:sz w:val="16"/>
          <w:szCs w:val="16"/>
          <w:lang w:val="nl-NL"/>
        </w:rPr>
      </w:pPr>
      <w:r>
        <w:rPr>
          <w:rStyle w:val="Voetnootmarkering"/>
        </w:rPr>
        <w:footnoteRef/>
      </w:r>
      <w:r>
        <w:t xml:space="preserve"> </w:t>
      </w:r>
      <w:r>
        <w:rPr>
          <w:sz w:val="16"/>
          <w:szCs w:val="16"/>
          <w:lang w:val="nl-NL"/>
        </w:rPr>
        <w:t>Art. 166 oud BW; art. 1476, § 1, eerste lid oud BW.</w:t>
      </w:r>
    </w:p>
  </w:footnote>
  <w:footnote w:id="142">
    <w:p w14:paraId="7B4F236D" w14:textId="77777777" w:rsidR="00BD18A3" w:rsidRPr="00056ED2" w:rsidRDefault="00BD18A3" w:rsidP="00BD18A3">
      <w:pPr>
        <w:pStyle w:val="Voetnoottekst"/>
        <w:rPr>
          <w:sz w:val="16"/>
          <w:szCs w:val="16"/>
          <w:lang w:val="nl-NL"/>
        </w:rPr>
      </w:pPr>
      <w:r>
        <w:rPr>
          <w:rStyle w:val="Voetnootmarkering"/>
        </w:rPr>
        <w:footnoteRef/>
      </w:r>
      <w:r>
        <w:t xml:space="preserve"> </w:t>
      </w:r>
      <w:r>
        <w:rPr>
          <w:sz w:val="16"/>
          <w:szCs w:val="16"/>
          <w:lang w:val="nl-NL"/>
        </w:rPr>
        <w:t>Art. 165/1 oud BW; art. 1476, § 1, eerste lid oud BW.</w:t>
      </w:r>
    </w:p>
  </w:footnote>
  <w:footnote w:id="143">
    <w:p w14:paraId="260F1797" w14:textId="77777777" w:rsidR="00BD18A3" w:rsidRPr="002C0390" w:rsidRDefault="00BD18A3" w:rsidP="00BD18A3">
      <w:pPr>
        <w:pStyle w:val="Voetnoottekst"/>
      </w:pPr>
      <w:r>
        <w:rPr>
          <w:rStyle w:val="Voetnootmarkering"/>
        </w:rPr>
        <w:footnoteRef/>
      </w:r>
      <w:r>
        <w:t xml:space="preserve"> </w:t>
      </w:r>
      <w:r>
        <w:rPr>
          <w:sz w:val="16"/>
          <w:szCs w:val="16"/>
          <w:lang w:val="nl-NL"/>
        </w:rPr>
        <w:t>Art. 1476, § 1, eerste lid oud BW.</w:t>
      </w:r>
    </w:p>
  </w:footnote>
  <w:footnote w:id="144">
    <w:p w14:paraId="2C08D399" w14:textId="77777777" w:rsidR="00BD18A3" w:rsidRPr="00E60B8D" w:rsidRDefault="00BD18A3" w:rsidP="00BD18A3">
      <w:pPr>
        <w:pStyle w:val="Voetnoottekst"/>
        <w:rPr>
          <w:sz w:val="16"/>
          <w:szCs w:val="16"/>
          <w:lang w:val="nl-NL"/>
        </w:rPr>
      </w:pPr>
      <w:r>
        <w:rPr>
          <w:rStyle w:val="Voetnootmarkering"/>
        </w:rPr>
        <w:footnoteRef/>
      </w:r>
      <w:r>
        <w:t xml:space="preserve"> </w:t>
      </w:r>
      <w:r>
        <w:rPr>
          <w:sz w:val="16"/>
          <w:szCs w:val="16"/>
          <w:lang w:val="nl-NL"/>
        </w:rPr>
        <w:t>Art. 165/1 oud BW.</w:t>
      </w:r>
    </w:p>
  </w:footnote>
  <w:footnote w:id="145">
    <w:p w14:paraId="69AA62F4" w14:textId="77777777" w:rsidR="00BD18A3" w:rsidRPr="00A0362C" w:rsidRDefault="00BD18A3" w:rsidP="00BD18A3">
      <w:pPr>
        <w:pStyle w:val="Voetnoottekst"/>
        <w:rPr>
          <w:sz w:val="16"/>
          <w:szCs w:val="16"/>
          <w:lang w:val="nl-NL"/>
        </w:rPr>
      </w:pPr>
      <w:r>
        <w:rPr>
          <w:rStyle w:val="Voetnootmarkering"/>
        </w:rPr>
        <w:footnoteRef/>
      </w:r>
      <w:r>
        <w:t xml:space="preserve"> </w:t>
      </w:r>
      <w:r>
        <w:rPr>
          <w:sz w:val="16"/>
          <w:szCs w:val="16"/>
          <w:lang w:val="nl-NL"/>
        </w:rPr>
        <w:t>Art. 1476, § 1, derde lid oud BW.</w:t>
      </w:r>
    </w:p>
  </w:footnote>
  <w:footnote w:id="146">
    <w:p w14:paraId="48A32AB1" w14:textId="77777777" w:rsidR="00BD18A3" w:rsidRPr="00D46E67" w:rsidRDefault="00BD18A3" w:rsidP="00BD18A3">
      <w:pPr>
        <w:pStyle w:val="Voetnoottekst"/>
        <w:rPr>
          <w:sz w:val="16"/>
          <w:szCs w:val="16"/>
          <w:lang w:val="nl-NL"/>
        </w:rPr>
      </w:pPr>
      <w:r>
        <w:rPr>
          <w:rStyle w:val="Voetnootmarkering"/>
        </w:rPr>
        <w:footnoteRef/>
      </w:r>
      <w:r>
        <w:t xml:space="preserve"> </w:t>
      </w:r>
      <w:r>
        <w:rPr>
          <w:sz w:val="16"/>
          <w:szCs w:val="16"/>
          <w:lang w:val="nl-NL"/>
        </w:rPr>
        <w:t>Art. 5.78, eerste lid BW.</w:t>
      </w:r>
    </w:p>
  </w:footnote>
  <w:footnote w:id="147">
    <w:p w14:paraId="36A9B266" w14:textId="77777777" w:rsidR="00BD18A3" w:rsidRPr="00F855F0" w:rsidRDefault="00BD18A3" w:rsidP="00BD18A3">
      <w:pPr>
        <w:pStyle w:val="Voetnoottekst"/>
        <w:rPr>
          <w:sz w:val="16"/>
          <w:szCs w:val="16"/>
          <w:lang w:val="nl-NL"/>
        </w:rPr>
      </w:pPr>
      <w:r>
        <w:rPr>
          <w:rStyle w:val="Voetnootmarkering"/>
        </w:rPr>
        <w:footnoteRef/>
      </w:r>
      <w:r>
        <w:t xml:space="preserve"> </w:t>
      </w:r>
      <w:r>
        <w:rPr>
          <w:sz w:val="16"/>
          <w:szCs w:val="16"/>
          <w:lang w:val="nl-NL"/>
        </w:rPr>
        <w:t>Art. 5.78, eerste lid BW.</w:t>
      </w:r>
    </w:p>
  </w:footnote>
  <w:footnote w:id="148">
    <w:p w14:paraId="272DD4B0" w14:textId="77777777" w:rsidR="00BD18A3" w:rsidRPr="0048245B" w:rsidRDefault="00BD18A3" w:rsidP="00BD18A3">
      <w:pPr>
        <w:pStyle w:val="Voetnoottekst"/>
      </w:pPr>
      <w:r>
        <w:rPr>
          <w:rStyle w:val="Voetnootmarkering"/>
        </w:rPr>
        <w:footnoteRef/>
      </w:r>
      <w:r w:rsidRPr="0048245B">
        <w:t xml:space="preserve"> </w:t>
      </w:r>
      <w:r w:rsidRPr="0048245B">
        <w:rPr>
          <w:sz w:val="16"/>
          <w:szCs w:val="16"/>
        </w:rPr>
        <w:t>Art. 5.78, derde lid BW.</w:t>
      </w:r>
    </w:p>
  </w:footnote>
  <w:footnote w:id="149">
    <w:p w14:paraId="2445316A" w14:textId="77777777" w:rsidR="00BD18A3" w:rsidRPr="00A024AC" w:rsidRDefault="00BD18A3" w:rsidP="00BD18A3">
      <w:pPr>
        <w:pStyle w:val="Voetnoottekst"/>
        <w:rPr>
          <w:sz w:val="16"/>
          <w:szCs w:val="16"/>
        </w:rPr>
      </w:pPr>
      <w:r>
        <w:rPr>
          <w:rStyle w:val="Voetnootmarkering"/>
        </w:rPr>
        <w:footnoteRef/>
      </w:r>
      <w:r w:rsidRPr="00A024AC">
        <w:t xml:space="preserve"> </w:t>
      </w:r>
      <w:r>
        <w:rPr>
          <w:sz w:val="16"/>
          <w:szCs w:val="16"/>
        </w:rPr>
        <w:t>A</w:t>
      </w:r>
      <w:r w:rsidRPr="00517046">
        <w:rPr>
          <w:sz w:val="16"/>
          <w:szCs w:val="16"/>
        </w:rPr>
        <w:t>rt. 1478, § 1, vierde lid oud BW</w:t>
      </w:r>
      <w:r>
        <w:rPr>
          <w:sz w:val="16"/>
          <w:szCs w:val="16"/>
        </w:rPr>
        <w:t xml:space="preserve">; </w:t>
      </w:r>
      <w:r w:rsidRPr="00A024AC">
        <w:rPr>
          <w:sz w:val="16"/>
          <w:szCs w:val="16"/>
        </w:rPr>
        <w:t>art. 2.3.6 BW.</w:t>
      </w:r>
    </w:p>
  </w:footnote>
  <w:footnote w:id="150">
    <w:p w14:paraId="0D85824F" w14:textId="77777777" w:rsidR="00BD18A3" w:rsidRPr="00747F8A" w:rsidRDefault="00BD18A3" w:rsidP="00BD18A3">
      <w:pPr>
        <w:pStyle w:val="Voetnoottekst"/>
        <w:rPr>
          <w:sz w:val="16"/>
          <w:szCs w:val="16"/>
        </w:rPr>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151">
    <w:p w14:paraId="55E4B929"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165/1 oud BW.</w:t>
      </w:r>
    </w:p>
  </w:footnote>
  <w:footnote w:id="152">
    <w:p w14:paraId="42A03708" w14:textId="77777777" w:rsidR="00BD18A3" w:rsidRPr="00A0362C" w:rsidRDefault="00BD18A3" w:rsidP="00BD18A3">
      <w:pPr>
        <w:pStyle w:val="Voetnoottekst"/>
        <w:rPr>
          <w:sz w:val="16"/>
          <w:szCs w:val="16"/>
          <w:lang w:val="nl-NL"/>
        </w:rPr>
      </w:pPr>
      <w:r>
        <w:rPr>
          <w:rStyle w:val="Voetnootmarkering"/>
        </w:rPr>
        <w:footnoteRef/>
      </w:r>
      <w:r>
        <w:t xml:space="preserve"> </w:t>
      </w:r>
      <w:r>
        <w:rPr>
          <w:sz w:val="16"/>
          <w:szCs w:val="16"/>
          <w:lang w:val="nl-NL"/>
        </w:rPr>
        <w:t>Art. 1476, § 1, derde lid oud BW.</w:t>
      </w:r>
    </w:p>
  </w:footnote>
  <w:footnote w:id="153">
    <w:p w14:paraId="176BFF48" w14:textId="77777777" w:rsidR="00BD18A3" w:rsidRPr="0090385C" w:rsidRDefault="00BD18A3" w:rsidP="00BD18A3">
      <w:pPr>
        <w:spacing w:line="240" w:lineRule="auto"/>
        <w:rPr>
          <w:sz w:val="16"/>
          <w:szCs w:val="21"/>
        </w:rPr>
      </w:pPr>
      <w:r>
        <w:rPr>
          <w:rStyle w:val="Voetnootmarkering"/>
        </w:rPr>
        <w:footnoteRef/>
      </w:r>
      <w:r>
        <w:t xml:space="preserve"> </w:t>
      </w:r>
      <w:r w:rsidRPr="0090385C">
        <w:rPr>
          <w:sz w:val="16"/>
          <w:szCs w:val="21"/>
        </w:rPr>
        <w:t>Art. 5.78</w:t>
      </w:r>
      <w:r>
        <w:rPr>
          <w:sz w:val="16"/>
          <w:szCs w:val="21"/>
        </w:rPr>
        <w:t>,</w:t>
      </w:r>
      <w:r w:rsidRPr="0090385C">
        <w:rPr>
          <w:sz w:val="16"/>
          <w:szCs w:val="21"/>
        </w:rPr>
        <w:t xml:space="preserve"> tweede lid</w:t>
      </w:r>
      <w:r>
        <w:rPr>
          <w:sz w:val="16"/>
          <w:szCs w:val="21"/>
        </w:rPr>
        <w:t xml:space="preserve"> BW.</w:t>
      </w:r>
    </w:p>
  </w:footnote>
  <w:footnote w:id="154">
    <w:p w14:paraId="252D2AAD" w14:textId="77777777" w:rsidR="00BD18A3" w:rsidRPr="006D09CD" w:rsidRDefault="00BD18A3" w:rsidP="00BD18A3">
      <w:pPr>
        <w:pStyle w:val="Voetnoottekst"/>
        <w:rPr>
          <w:i/>
          <w:iCs/>
          <w:sz w:val="16"/>
          <w:szCs w:val="16"/>
        </w:rPr>
      </w:pPr>
      <w:r>
        <w:rPr>
          <w:rStyle w:val="Voetnootmarkering"/>
        </w:rPr>
        <w:footnoteRef/>
      </w:r>
      <w:r>
        <w:t xml:space="preserve"> </w:t>
      </w:r>
      <w:r>
        <w:rPr>
          <w:i/>
          <w:iCs/>
          <w:sz w:val="16"/>
          <w:szCs w:val="21"/>
        </w:rPr>
        <w:t>Ibid.</w:t>
      </w:r>
    </w:p>
  </w:footnote>
  <w:footnote w:id="155">
    <w:p w14:paraId="50CAE731" w14:textId="77777777" w:rsidR="00BD18A3" w:rsidRPr="00FC1EDC" w:rsidRDefault="00BD18A3" w:rsidP="00BD18A3">
      <w:pPr>
        <w:pStyle w:val="Voetnoottekst"/>
      </w:pPr>
      <w:r>
        <w:rPr>
          <w:rStyle w:val="Voetnootmarkering"/>
        </w:rPr>
        <w:footnoteRef/>
      </w:r>
      <w:r>
        <w:t xml:space="preserve"> </w:t>
      </w:r>
      <w:r w:rsidRPr="0090385C">
        <w:rPr>
          <w:sz w:val="16"/>
          <w:szCs w:val="21"/>
        </w:rPr>
        <w:t>Art. 5.78</w:t>
      </w:r>
      <w:r>
        <w:rPr>
          <w:sz w:val="16"/>
          <w:szCs w:val="21"/>
        </w:rPr>
        <w:t>,</w:t>
      </w:r>
      <w:r w:rsidRPr="0090385C">
        <w:rPr>
          <w:sz w:val="16"/>
          <w:szCs w:val="21"/>
        </w:rPr>
        <w:t xml:space="preserve"> </w:t>
      </w:r>
      <w:r>
        <w:rPr>
          <w:sz w:val="16"/>
          <w:szCs w:val="21"/>
        </w:rPr>
        <w:t>derde</w:t>
      </w:r>
      <w:r w:rsidRPr="0090385C">
        <w:rPr>
          <w:sz w:val="16"/>
          <w:szCs w:val="21"/>
        </w:rPr>
        <w:t xml:space="preserve"> lid</w:t>
      </w:r>
      <w:r>
        <w:rPr>
          <w:sz w:val="16"/>
          <w:szCs w:val="21"/>
        </w:rPr>
        <w:t xml:space="preserve"> BW.</w:t>
      </w:r>
    </w:p>
  </w:footnote>
  <w:footnote w:id="156">
    <w:p w14:paraId="1314336C" w14:textId="77777777" w:rsidR="00BD18A3" w:rsidRPr="00517046" w:rsidRDefault="00BD18A3" w:rsidP="00BD18A3">
      <w:pPr>
        <w:pStyle w:val="Voetnoottekst"/>
        <w:rPr>
          <w:sz w:val="16"/>
          <w:szCs w:val="16"/>
        </w:rPr>
      </w:pPr>
      <w:r>
        <w:rPr>
          <w:rStyle w:val="Voetnootmarkering"/>
        </w:rPr>
        <w:footnoteRef/>
      </w:r>
      <w:r w:rsidRPr="00517046">
        <w:t xml:space="preserve"> </w:t>
      </w:r>
      <w:r>
        <w:rPr>
          <w:sz w:val="16"/>
          <w:szCs w:val="16"/>
        </w:rPr>
        <w:t>A</w:t>
      </w:r>
      <w:r w:rsidRPr="00517046">
        <w:rPr>
          <w:sz w:val="16"/>
          <w:szCs w:val="16"/>
        </w:rPr>
        <w:t>rt. 1478, § 1, vierde lid oud BW</w:t>
      </w:r>
      <w:r>
        <w:rPr>
          <w:sz w:val="16"/>
          <w:szCs w:val="16"/>
        </w:rPr>
        <w:t>; a</w:t>
      </w:r>
      <w:r w:rsidRPr="00517046">
        <w:rPr>
          <w:sz w:val="16"/>
          <w:szCs w:val="16"/>
        </w:rPr>
        <w:t>rt. 2.3.6 BW</w:t>
      </w:r>
      <w:r>
        <w:rPr>
          <w:sz w:val="16"/>
          <w:szCs w:val="16"/>
        </w:rPr>
        <w:t>.</w:t>
      </w:r>
    </w:p>
  </w:footnote>
  <w:footnote w:id="157">
    <w:p w14:paraId="090569F0" w14:textId="77777777" w:rsidR="00BD18A3" w:rsidRPr="00747F8A" w:rsidRDefault="00BD18A3" w:rsidP="00BD18A3">
      <w:pPr>
        <w:pStyle w:val="Voetnoottekst"/>
        <w:rPr>
          <w:sz w:val="16"/>
          <w:szCs w:val="16"/>
        </w:rPr>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158">
    <w:p w14:paraId="2FBDDC67"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165/1 oud BW.</w:t>
      </w:r>
    </w:p>
  </w:footnote>
  <w:footnote w:id="159">
    <w:p w14:paraId="21BD2872" w14:textId="77777777" w:rsidR="00BD18A3" w:rsidRPr="00A0362C" w:rsidRDefault="00BD18A3" w:rsidP="00BD18A3">
      <w:pPr>
        <w:pStyle w:val="Voetnoottekst"/>
        <w:rPr>
          <w:sz w:val="16"/>
          <w:szCs w:val="16"/>
          <w:lang w:val="nl-NL"/>
        </w:rPr>
      </w:pPr>
      <w:r>
        <w:rPr>
          <w:rStyle w:val="Voetnootmarkering"/>
        </w:rPr>
        <w:footnoteRef/>
      </w:r>
      <w:r>
        <w:t xml:space="preserve"> </w:t>
      </w:r>
      <w:r>
        <w:rPr>
          <w:sz w:val="16"/>
          <w:szCs w:val="16"/>
          <w:lang w:val="nl-NL"/>
        </w:rPr>
        <w:t>Art. 1476, § 1, derde lid oud BW.</w:t>
      </w:r>
    </w:p>
  </w:footnote>
  <w:footnote w:id="160">
    <w:p w14:paraId="70C56CC3" w14:textId="77777777" w:rsidR="00BD18A3" w:rsidRPr="00CD200A" w:rsidRDefault="00BD18A3" w:rsidP="00BD18A3">
      <w:pPr>
        <w:pStyle w:val="Voetnoottekst"/>
        <w:rPr>
          <w:sz w:val="16"/>
          <w:szCs w:val="16"/>
          <w:lang w:val="nl-NL"/>
        </w:rPr>
      </w:pPr>
      <w:r>
        <w:rPr>
          <w:rStyle w:val="Voetnootmarkering"/>
        </w:rPr>
        <w:footnoteRef/>
      </w:r>
      <w:r w:rsidRPr="00CD200A">
        <w:rPr>
          <w:lang w:val="nl-NL"/>
        </w:rPr>
        <w:t xml:space="preserve"> </w:t>
      </w:r>
      <w:r w:rsidRPr="00CD200A">
        <w:rPr>
          <w:sz w:val="16"/>
          <w:szCs w:val="16"/>
          <w:lang w:val="nl-NL"/>
        </w:rPr>
        <w:t>Art. 5.27 BW.</w:t>
      </w:r>
    </w:p>
  </w:footnote>
  <w:footnote w:id="161">
    <w:p w14:paraId="60EA5C64" w14:textId="77777777" w:rsidR="00BD18A3" w:rsidRPr="00147F73" w:rsidRDefault="00BD18A3" w:rsidP="00BD18A3">
      <w:pPr>
        <w:pStyle w:val="Voetnoottekst"/>
      </w:pPr>
      <w:r>
        <w:rPr>
          <w:rStyle w:val="Voetnootmarkering"/>
        </w:rPr>
        <w:footnoteRef/>
      </w:r>
      <w:r w:rsidRPr="00147F73">
        <w:t xml:space="preserve"> </w:t>
      </w:r>
      <w:r>
        <w:rPr>
          <w:sz w:val="16"/>
          <w:szCs w:val="16"/>
          <w:lang w:val="nl-NL"/>
        </w:rPr>
        <w:t>A</w:t>
      </w:r>
      <w:r w:rsidRPr="00CD200A">
        <w:rPr>
          <w:sz w:val="16"/>
          <w:szCs w:val="16"/>
          <w:lang w:val="nl-NL"/>
        </w:rPr>
        <w:t>rt. 1478, vierde lid oud BW</w:t>
      </w:r>
      <w:r>
        <w:rPr>
          <w:sz w:val="16"/>
          <w:szCs w:val="16"/>
          <w:lang w:val="nl-NL"/>
        </w:rPr>
        <w:t xml:space="preserve">; </w:t>
      </w:r>
      <w:r w:rsidRPr="00147F73">
        <w:rPr>
          <w:sz w:val="16"/>
          <w:szCs w:val="16"/>
        </w:rPr>
        <w:t>art. 2.3.6 BW.</w:t>
      </w:r>
    </w:p>
  </w:footnote>
  <w:footnote w:id="162">
    <w:p w14:paraId="19E7435E" w14:textId="77777777" w:rsidR="00BD18A3" w:rsidRPr="000D79C4" w:rsidRDefault="00BD18A3" w:rsidP="00BD18A3">
      <w:pPr>
        <w:pStyle w:val="Voetnoottekst"/>
        <w:rPr>
          <w:lang w:val="nl-NL"/>
        </w:rPr>
      </w:pPr>
      <w:r>
        <w:rPr>
          <w:rStyle w:val="Voetnootmarkering"/>
        </w:rPr>
        <w:footnoteRef/>
      </w:r>
      <w:r w:rsidRPr="000D79C4">
        <w:rPr>
          <w:lang w:val="nl-NL"/>
        </w:rPr>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163">
    <w:p w14:paraId="58103B39" w14:textId="77777777" w:rsidR="00BD18A3" w:rsidRPr="00E26995" w:rsidRDefault="00BD18A3" w:rsidP="00BD18A3">
      <w:pPr>
        <w:pStyle w:val="Voetnoottekst"/>
      </w:pPr>
      <w:r>
        <w:rPr>
          <w:rStyle w:val="Voetnootmarkering"/>
        </w:rPr>
        <w:footnoteRef/>
      </w:r>
      <w:r>
        <w:t xml:space="preserve"> </w:t>
      </w:r>
      <w:r>
        <w:rPr>
          <w:sz w:val="16"/>
          <w:szCs w:val="16"/>
        </w:rPr>
        <w:t>A</w:t>
      </w:r>
      <w:r w:rsidRPr="00402214">
        <w:rPr>
          <w:sz w:val="16"/>
          <w:szCs w:val="16"/>
        </w:rPr>
        <w:t>rt. 1478, vierde lid oud</w:t>
      </w:r>
      <w:r>
        <w:rPr>
          <w:sz w:val="16"/>
          <w:szCs w:val="16"/>
        </w:rPr>
        <w:t xml:space="preserve"> BW; a</w:t>
      </w:r>
      <w:r w:rsidRPr="00402214">
        <w:rPr>
          <w:sz w:val="16"/>
          <w:szCs w:val="16"/>
        </w:rPr>
        <w:t>rt. 2.3.8, §</w:t>
      </w:r>
      <w:r>
        <w:rPr>
          <w:sz w:val="16"/>
          <w:szCs w:val="16"/>
        </w:rPr>
        <w:t xml:space="preserve"> </w:t>
      </w:r>
      <w:r w:rsidRPr="00402214">
        <w:rPr>
          <w:sz w:val="16"/>
          <w:szCs w:val="16"/>
        </w:rPr>
        <w:t>1 BW</w:t>
      </w:r>
      <w:r>
        <w:rPr>
          <w:sz w:val="16"/>
          <w:szCs w:val="16"/>
        </w:rPr>
        <w:t>.</w:t>
      </w:r>
    </w:p>
  </w:footnote>
  <w:footnote w:id="164">
    <w:p w14:paraId="01BCDDE4" w14:textId="77777777" w:rsidR="00BD18A3" w:rsidRPr="00011884" w:rsidRDefault="00BD18A3" w:rsidP="00BD18A3">
      <w:pPr>
        <w:pStyle w:val="Voetnoottekst"/>
        <w:rPr>
          <w:i/>
          <w:iCs/>
          <w:sz w:val="16"/>
          <w:szCs w:val="16"/>
        </w:rPr>
      </w:pPr>
      <w:r>
        <w:rPr>
          <w:rStyle w:val="Voetnootmarkering"/>
        </w:rPr>
        <w:footnoteRef/>
      </w:r>
      <w:r w:rsidRPr="00011884">
        <w:t xml:space="preserve"> </w:t>
      </w:r>
      <w:r w:rsidRPr="00011884">
        <w:rPr>
          <w:i/>
          <w:iCs/>
          <w:sz w:val="16"/>
          <w:szCs w:val="16"/>
        </w:rPr>
        <w:t>Ibid.</w:t>
      </w:r>
    </w:p>
  </w:footnote>
  <w:footnote w:id="165">
    <w:p w14:paraId="459921AF" w14:textId="77777777" w:rsidR="00BD18A3" w:rsidRPr="00011884" w:rsidRDefault="00BD18A3" w:rsidP="00BD18A3">
      <w:pPr>
        <w:pStyle w:val="Voetnoottekst"/>
        <w:rPr>
          <w:sz w:val="16"/>
          <w:szCs w:val="16"/>
        </w:rPr>
      </w:pPr>
      <w:r>
        <w:rPr>
          <w:rStyle w:val="Voetnootmarkering"/>
        </w:rPr>
        <w:footnoteRef/>
      </w:r>
      <w:r w:rsidRPr="00011884">
        <w:t xml:space="preserve"> </w:t>
      </w:r>
      <w:r w:rsidRPr="00011884">
        <w:rPr>
          <w:sz w:val="16"/>
          <w:szCs w:val="16"/>
        </w:rPr>
        <w:t>Art. 2.3.8</w:t>
      </w:r>
      <w:r>
        <w:rPr>
          <w:sz w:val="16"/>
          <w:szCs w:val="16"/>
        </w:rPr>
        <w:t xml:space="preserve"> </w:t>
      </w:r>
      <w:r w:rsidRPr="00011884">
        <w:rPr>
          <w:sz w:val="16"/>
          <w:szCs w:val="16"/>
        </w:rPr>
        <w:t>BW.</w:t>
      </w:r>
    </w:p>
  </w:footnote>
  <w:footnote w:id="166">
    <w:p w14:paraId="1EAE16B6" w14:textId="77777777" w:rsidR="00BD18A3" w:rsidRPr="00F427A8" w:rsidRDefault="00BD18A3" w:rsidP="00BD18A3">
      <w:pPr>
        <w:pStyle w:val="Voetnoottekst"/>
        <w:rPr>
          <w:sz w:val="16"/>
        </w:rPr>
      </w:pPr>
      <w:r>
        <w:rPr>
          <w:rStyle w:val="Voetnootmarkering"/>
        </w:rPr>
        <w:footnoteRef/>
      </w:r>
      <w:r>
        <w:t xml:space="preserve"> </w:t>
      </w:r>
      <w:r>
        <w:rPr>
          <w:sz w:val="16"/>
        </w:rPr>
        <w:t>Art. 5.76, eerste lid BW.</w:t>
      </w:r>
    </w:p>
  </w:footnote>
  <w:footnote w:id="167">
    <w:p w14:paraId="17AA1052" w14:textId="77777777" w:rsidR="00BD18A3" w:rsidRPr="00011884" w:rsidRDefault="00BD18A3" w:rsidP="00BD18A3">
      <w:pPr>
        <w:pStyle w:val="Voetnoottekst"/>
      </w:pPr>
      <w:r>
        <w:rPr>
          <w:rStyle w:val="Voetnootmarkering"/>
        </w:rPr>
        <w:footnoteRef/>
      </w:r>
      <w:r w:rsidRPr="00011884">
        <w:t xml:space="preserve"> </w:t>
      </w:r>
      <w:r w:rsidRPr="00011884">
        <w:rPr>
          <w:sz w:val="16"/>
          <w:szCs w:val="16"/>
        </w:rPr>
        <w:t>Art. 5.78, derde lid BW.</w:t>
      </w:r>
    </w:p>
  </w:footnote>
  <w:footnote w:id="168">
    <w:p w14:paraId="7240E936" w14:textId="77777777" w:rsidR="00BD18A3" w:rsidRPr="00747F8A" w:rsidRDefault="00BD18A3" w:rsidP="00BD18A3">
      <w:pPr>
        <w:pStyle w:val="Voetnoottekst"/>
      </w:pPr>
      <w:r>
        <w:rPr>
          <w:rStyle w:val="Voetnootmarkering"/>
        </w:rPr>
        <w:footnoteRef/>
      </w:r>
      <w:r w:rsidRPr="005C7E25">
        <w:t xml:space="preserve"> </w:t>
      </w:r>
      <w:r>
        <w:rPr>
          <w:sz w:val="16"/>
          <w:szCs w:val="16"/>
        </w:rPr>
        <w:t>A</w:t>
      </w:r>
      <w:r w:rsidRPr="000131A9">
        <w:rPr>
          <w:sz w:val="16"/>
          <w:szCs w:val="16"/>
        </w:rPr>
        <w:t>rt. 1478, vierde lid ou</w:t>
      </w:r>
      <w:r>
        <w:rPr>
          <w:sz w:val="16"/>
          <w:szCs w:val="16"/>
        </w:rPr>
        <w:t>d BW; a</w:t>
      </w:r>
      <w:r w:rsidRPr="005C7E25">
        <w:rPr>
          <w:sz w:val="16"/>
          <w:szCs w:val="16"/>
        </w:rPr>
        <w:t xml:space="preserve">rt. 2.3.6. </w:t>
      </w:r>
      <w:r w:rsidRPr="00747F8A">
        <w:rPr>
          <w:sz w:val="16"/>
          <w:szCs w:val="16"/>
        </w:rPr>
        <w:t>BW.</w:t>
      </w:r>
    </w:p>
  </w:footnote>
  <w:footnote w:id="169">
    <w:p w14:paraId="3F3FAB23" w14:textId="77777777" w:rsidR="00BD18A3" w:rsidRPr="0039488D" w:rsidRDefault="00BD18A3" w:rsidP="00BD18A3">
      <w:pPr>
        <w:pStyle w:val="Voetnoottekst"/>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r>
        <w:rPr>
          <w:sz w:val="16"/>
          <w:szCs w:val="16"/>
        </w:rPr>
        <w:t xml:space="preserve"> </w:t>
      </w:r>
      <w:r w:rsidRPr="0039488D">
        <w:rPr>
          <w:sz w:val="16"/>
          <w:szCs w:val="16"/>
        </w:rPr>
        <w:t>art. 1478, vierde lid oud BW</w:t>
      </w:r>
      <w:r>
        <w:rPr>
          <w:sz w:val="16"/>
          <w:szCs w:val="16"/>
        </w:rPr>
        <w:t>;</w:t>
      </w:r>
      <w:r w:rsidRPr="00747F8A">
        <w:rPr>
          <w:sz w:val="16"/>
          <w:szCs w:val="16"/>
        </w:rPr>
        <w:t xml:space="preserve"> art. 2.3.6. </w:t>
      </w:r>
      <w:r w:rsidRPr="0039488D">
        <w:rPr>
          <w:sz w:val="16"/>
          <w:szCs w:val="16"/>
        </w:rPr>
        <w:t>BW</w:t>
      </w:r>
      <w:r>
        <w:rPr>
          <w:sz w:val="16"/>
          <w:szCs w:val="16"/>
        </w:rPr>
        <w:t>.</w:t>
      </w:r>
    </w:p>
  </w:footnote>
  <w:footnote w:id="170">
    <w:p w14:paraId="0895348F" w14:textId="77777777" w:rsidR="00BD18A3" w:rsidRPr="00485720" w:rsidRDefault="00BD18A3" w:rsidP="00BD18A3">
      <w:pPr>
        <w:pStyle w:val="Voetnoottekst"/>
        <w:rPr>
          <w:sz w:val="16"/>
          <w:szCs w:val="16"/>
        </w:rPr>
      </w:pPr>
      <w:r>
        <w:rPr>
          <w:rStyle w:val="Voetnootmarkering"/>
        </w:rPr>
        <w:footnoteRef/>
      </w:r>
      <w:r w:rsidRPr="00485720">
        <w:t xml:space="preserve"> </w:t>
      </w:r>
      <w:r w:rsidRPr="00485720">
        <w:rPr>
          <w:sz w:val="16"/>
          <w:szCs w:val="16"/>
        </w:rPr>
        <w:t>Art. 2.3.8, § 2 BW.</w:t>
      </w:r>
    </w:p>
  </w:footnote>
  <w:footnote w:id="171">
    <w:p w14:paraId="5F0E196E"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2.3.8, § 3 BW.</w:t>
      </w:r>
    </w:p>
  </w:footnote>
  <w:footnote w:id="172">
    <w:p w14:paraId="3AF275BD" w14:textId="77777777" w:rsidR="00BD18A3" w:rsidRPr="002B4C1B" w:rsidRDefault="00BD18A3" w:rsidP="00BD18A3">
      <w:pPr>
        <w:pStyle w:val="Voetnoottekst"/>
      </w:pPr>
      <w:r>
        <w:rPr>
          <w:rStyle w:val="Voetnootmarkering"/>
        </w:rPr>
        <w:footnoteRef/>
      </w:r>
      <w:r w:rsidRPr="002B4C1B">
        <w:t xml:space="preserve"> </w:t>
      </w:r>
      <w:r w:rsidRPr="002B4C1B">
        <w:rPr>
          <w:sz w:val="16"/>
          <w:szCs w:val="16"/>
        </w:rPr>
        <w:t>Art. 165/1 oud BW.</w:t>
      </w:r>
    </w:p>
  </w:footnote>
  <w:footnote w:id="173">
    <w:p w14:paraId="029BB944" w14:textId="77777777" w:rsidR="00BD18A3" w:rsidRPr="00200649" w:rsidRDefault="00BD18A3" w:rsidP="00BD18A3">
      <w:pPr>
        <w:pStyle w:val="Voetnoottekst"/>
      </w:pPr>
      <w:r>
        <w:rPr>
          <w:rStyle w:val="Voetnootmarkering"/>
        </w:rPr>
        <w:footnoteRef/>
      </w:r>
      <w:r>
        <w:t xml:space="preserve"> </w:t>
      </w:r>
      <w:r>
        <w:rPr>
          <w:sz w:val="16"/>
          <w:szCs w:val="16"/>
          <w:lang w:val="nl-NL"/>
        </w:rPr>
        <w:t>Art. 1476, § 1, eerste lid oud BW.</w:t>
      </w:r>
    </w:p>
  </w:footnote>
  <w:footnote w:id="174">
    <w:p w14:paraId="2B1F24DF" w14:textId="77777777" w:rsidR="00BD18A3" w:rsidRPr="00CC5057" w:rsidRDefault="00BD18A3" w:rsidP="00BD18A3">
      <w:pPr>
        <w:pStyle w:val="Voetnoottekst"/>
        <w:rPr>
          <w:sz w:val="16"/>
          <w:szCs w:val="16"/>
        </w:rPr>
      </w:pPr>
      <w:r>
        <w:rPr>
          <w:rStyle w:val="Voetnootmarkering"/>
        </w:rPr>
        <w:footnoteRef/>
      </w:r>
      <w:r w:rsidRPr="00CC5057">
        <w:t xml:space="preserve"> </w:t>
      </w:r>
      <w:r w:rsidRPr="00CC5057">
        <w:rPr>
          <w:sz w:val="16"/>
          <w:szCs w:val="16"/>
        </w:rPr>
        <w:t>Art. 2.3.10, tweede lid BW.</w:t>
      </w:r>
    </w:p>
  </w:footnote>
  <w:footnote w:id="175">
    <w:p w14:paraId="64D63735" w14:textId="77777777" w:rsidR="00BD18A3" w:rsidRPr="00CC5057" w:rsidRDefault="00BD18A3" w:rsidP="00BD18A3">
      <w:pPr>
        <w:pStyle w:val="Voetnoottekst"/>
        <w:rPr>
          <w:sz w:val="16"/>
          <w:szCs w:val="16"/>
        </w:rPr>
      </w:pPr>
      <w:r>
        <w:rPr>
          <w:rStyle w:val="Voetnootmarkering"/>
        </w:rPr>
        <w:footnoteRef/>
      </w:r>
      <w:r w:rsidRPr="00CC5057">
        <w:t xml:space="preserve"> </w:t>
      </w:r>
      <w:r w:rsidRPr="00D95FFD">
        <w:rPr>
          <w:sz w:val="16"/>
          <w:szCs w:val="16"/>
        </w:rPr>
        <w:t>Art. 2.3.9</w:t>
      </w:r>
      <w:r>
        <w:rPr>
          <w:sz w:val="16"/>
          <w:szCs w:val="16"/>
        </w:rPr>
        <w:t>, eerste lid</w:t>
      </w:r>
      <w:r w:rsidRPr="00D95FFD">
        <w:rPr>
          <w:sz w:val="16"/>
          <w:szCs w:val="16"/>
        </w:rPr>
        <w:t xml:space="preserve"> BW</w:t>
      </w:r>
      <w:r>
        <w:rPr>
          <w:sz w:val="16"/>
          <w:szCs w:val="16"/>
        </w:rPr>
        <w:t>; a</w:t>
      </w:r>
      <w:r w:rsidRPr="00CC5057">
        <w:rPr>
          <w:sz w:val="16"/>
          <w:szCs w:val="16"/>
        </w:rPr>
        <w:t>rt. 2.3.11, tweede lid BW.</w:t>
      </w:r>
    </w:p>
  </w:footnote>
  <w:footnote w:id="176">
    <w:p w14:paraId="0910E5F1" w14:textId="77777777" w:rsidR="00BD18A3" w:rsidRPr="00F90AC9" w:rsidRDefault="00BD18A3" w:rsidP="00BD18A3">
      <w:pPr>
        <w:pStyle w:val="Voetnoottekst"/>
      </w:pPr>
      <w:r>
        <w:rPr>
          <w:rStyle w:val="Voetnootmarkering"/>
        </w:rPr>
        <w:footnoteRef/>
      </w:r>
      <w:r w:rsidRPr="00F90AC9">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177">
    <w:p w14:paraId="6852016D" w14:textId="77777777" w:rsidR="00BD18A3" w:rsidRPr="003D4985" w:rsidRDefault="00BD18A3" w:rsidP="00BD18A3">
      <w:pPr>
        <w:pStyle w:val="Voetnoottekst"/>
        <w:rPr>
          <w:sz w:val="16"/>
          <w:szCs w:val="16"/>
        </w:rPr>
      </w:pPr>
      <w:r>
        <w:rPr>
          <w:rStyle w:val="Voetnootmarkering"/>
        </w:rPr>
        <w:footnoteRef/>
      </w:r>
      <w:r>
        <w:t xml:space="preserve"> </w:t>
      </w:r>
      <w:r>
        <w:rPr>
          <w:sz w:val="16"/>
          <w:szCs w:val="16"/>
        </w:rPr>
        <w:t>Art. 1478, vierde lid oud BW; art. 2.3.6 BW.</w:t>
      </w:r>
    </w:p>
  </w:footnote>
  <w:footnote w:id="178">
    <w:p w14:paraId="2D0D9940" w14:textId="77777777" w:rsidR="00BD18A3" w:rsidRPr="00200649" w:rsidRDefault="00BD18A3" w:rsidP="00BD18A3">
      <w:pPr>
        <w:pStyle w:val="Voetnoottekst"/>
      </w:pPr>
      <w:r>
        <w:rPr>
          <w:rStyle w:val="Voetnootmarkering"/>
        </w:rPr>
        <w:footnoteRef/>
      </w:r>
      <w:r>
        <w:t xml:space="preserve"> </w:t>
      </w:r>
      <w:r>
        <w:rPr>
          <w:sz w:val="16"/>
          <w:szCs w:val="16"/>
          <w:lang w:val="nl-NL"/>
        </w:rPr>
        <w:t>Art. 165/1 oud BW.</w:t>
      </w:r>
    </w:p>
  </w:footnote>
  <w:footnote w:id="179">
    <w:p w14:paraId="7DBD003E" w14:textId="77777777" w:rsidR="00BD18A3" w:rsidRPr="00200649" w:rsidRDefault="00BD18A3" w:rsidP="00BD18A3">
      <w:pPr>
        <w:pStyle w:val="Voetnoottekst"/>
      </w:pPr>
      <w:r>
        <w:rPr>
          <w:rStyle w:val="Voetnootmarkering"/>
        </w:rPr>
        <w:footnoteRef/>
      </w:r>
      <w:r>
        <w:t xml:space="preserve"> </w:t>
      </w:r>
      <w:r>
        <w:rPr>
          <w:sz w:val="16"/>
          <w:szCs w:val="16"/>
          <w:lang w:val="nl-NL"/>
        </w:rPr>
        <w:t>Art. 1476, § 1, eerste lid oud BW.</w:t>
      </w:r>
    </w:p>
  </w:footnote>
  <w:footnote w:id="180">
    <w:p w14:paraId="56BF3C1D" w14:textId="77777777" w:rsidR="00BD18A3" w:rsidRPr="00AA6FBE" w:rsidRDefault="00BD18A3" w:rsidP="00BD18A3">
      <w:pPr>
        <w:pStyle w:val="Voetnoottekst"/>
        <w:rPr>
          <w:sz w:val="16"/>
          <w:szCs w:val="16"/>
        </w:rPr>
      </w:pPr>
      <w:r>
        <w:rPr>
          <w:rStyle w:val="Voetnootmarkering"/>
        </w:rPr>
        <w:footnoteRef/>
      </w:r>
      <w:r>
        <w:t xml:space="preserve"> </w:t>
      </w:r>
      <w:r>
        <w:rPr>
          <w:sz w:val="16"/>
          <w:szCs w:val="16"/>
        </w:rPr>
        <w:t>Art. 5.78, derde lid BW.</w:t>
      </w:r>
    </w:p>
  </w:footnote>
  <w:footnote w:id="181">
    <w:p w14:paraId="01720C77" w14:textId="77777777" w:rsidR="00BD18A3" w:rsidRPr="00EF0C33" w:rsidRDefault="00BD18A3" w:rsidP="00BD18A3">
      <w:pPr>
        <w:pStyle w:val="Voetnoottekst"/>
        <w:rPr>
          <w:sz w:val="16"/>
          <w:szCs w:val="16"/>
          <w:lang w:val="nl-NL"/>
        </w:rPr>
      </w:pPr>
      <w:r>
        <w:rPr>
          <w:rStyle w:val="Voetnootmarkering"/>
        </w:rPr>
        <w:footnoteRef/>
      </w:r>
      <w:r>
        <w:t xml:space="preserve"> </w:t>
      </w:r>
      <w:r>
        <w:rPr>
          <w:sz w:val="16"/>
          <w:szCs w:val="16"/>
          <w:lang w:val="nl-NL"/>
        </w:rPr>
        <w:t xml:space="preserve">M. COPPENS, </w:t>
      </w:r>
      <w:r>
        <w:rPr>
          <w:i/>
          <w:iCs/>
          <w:sz w:val="16"/>
          <w:szCs w:val="16"/>
          <w:lang w:val="nl-NL"/>
        </w:rPr>
        <w:t xml:space="preserve">Praktijkgids Sociaal Recht 2022-2023, </w:t>
      </w:r>
      <w:r>
        <w:rPr>
          <w:sz w:val="16"/>
          <w:szCs w:val="16"/>
          <w:lang w:val="nl-NL"/>
        </w:rPr>
        <w:t>Gent, Story Publishers, 2022, 18-21.</w:t>
      </w:r>
    </w:p>
  </w:footnote>
  <w:footnote w:id="182">
    <w:p w14:paraId="0F54E23D" w14:textId="77777777" w:rsidR="00BD18A3" w:rsidRPr="00DC68DC" w:rsidRDefault="00BD18A3" w:rsidP="00BD18A3">
      <w:pPr>
        <w:pStyle w:val="Voetnoottekst"/>
        <w:rPr>
          <w:sz w:val="16"/>
        </w:rPr>
      </w:pPr>
      <w:r>
        <w:rPr>
          <w:rStyle w:val="Voetnootmarkering"/>
        </w:rPr>
        <w:footnoteRef/>
      </w:r>
      <w:r>
        <w:t xml:space="preserve"> </w:t>
      </w:r>
      <w:r>
        <w:rPr>
          <w:sz w:val="16"/>
        </w:rPr>
        <w:t>Art. 5.76, derde lid BW.</w:t>
      </w:r>
    </w:p>
  </w:footnote>
  <w:footnote w:id="183">
    <w:p w14:paraId="4677E9B2"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227 oud BW.</w:t>
      </w:r>
    </w:p>
  </w:footnote>
  <w:footnote w:id="184">
    <w:p w14:paraId="014D251A" w14:textId="77777777" w:rsidR="00BD18A3" w:rsidRPr="00E7301E" w:rsidRDefault="00BD18A3" w:rsidP="00BD18A3">
      <w:pPr>
        <w:pStyle w:val="Voetnoottekst"/>
        <w:rPr>
          <w:sz w:val="16"/>
          <w:szCs w:val="16"/>
          <w:lang w:val="en-US"/>
        </w:rPr>
      </w:pPr>
      <w:r>
        <w:rPr>
          <w:rStyle w:val="Voetnootmarkering"/>
        </w:rPr>
        <w:footnoteRef/>
      </w:r>
      <w:r w:rsidRPr="00E7301E">
        <w:rPr>
          <w:lang w:val="en-US"/>
        </w:rPr>
        <w:t xml:space="preserve"> </w:t>
      </w:r>
      <w:r w:rsidRPr="00E7301E">
        <w:rPr>
          <w:sz w:val="16"/>
          <w:szCs w:val="16"/>
          <w:lang w:val="en-US"/>
        </w:rPr>
        <w:t>Art. 229</w:t>
      </w:r>
      <w:r>
        <w:rPr>
          <w:sz w:val="16"/>
          <w:szCs w:val="16"/>
          <w:lang w:val="en-US"/>
        </w:rPr>
        <w:t>-230</w:t>
      </w:r>
      <w:r w:rsidRPr="00E7301E">
        <w:rPr>
          <w:sz w:val="16"/>
          <w:szCs w:val="16"/>
          <w:lang w:val="en-US"/>
        </w:rPr>
        <w:t xml:space="preserve"> oud BW</w:t>
      </w:r>
      <w:r>
        <w:rPr>
          <w:sz w:val="16"/>
          <w:szCs w:val="16"/>
          <w:lang w:val="en-US"/>
        </w:rPr>
        <w:t>.</w:t>
      </w:r>
    </w:p>
  </w:footnote>
  <w:footnote w:id="185">
    <w:p w14:paraId="0795008F" w14:textId="77777777" w:rsidR="00BD18A3" w:rsidRPr="005A177B" w:rsidRDefault="00BD18A3" w:rsidP="00BD18A3">
      <w:pPr>
        <w:pStyle w:val="Voetnoottekst"/>
        <w:rPr>
          <w:sz w:val="16"/>
          <w:szCs w:val="16"/>
          <w:lang w:val="en-US"/>
        </w:rPr>
      </w:pPr>
      <w:r>
        <w:rPr>
          <w:rStyle w:val="Voetnootmarkering"/>
        </w:rPr>
        <w:footnoteRef/>
      </w:r>
      <w:r w:rsidRPr="005A177B">
        <w:rPr>
          <w:lang w:val="en-US"/>
        </w:rPr>
        <w:t xml:space="preserve"> </w:t>
      </w:r>
      <w:r w:rsidRPr="005A177B">
        <w:rPr>
          <w:sz w:val="16"/>
          <w:szCs w:val="16"/>
          <w:lang w:val="en-US"/>
        </w:rPr>
        <w:t>Art. 229 oud BW.</w:t>
      </w:r>
    </w:p>
  </w:footnote>
  <w:footnote w:id="186">
    <w:p w14:paraId="7A432492"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230 oud BW.</w:t>
      </w:r>
    </w:p>
  </w:footnote>
  <w:footnote w:id="187">
    <w:p w14:paraId="7CDEEA56" w14:textId="77777777" w:rsidR="00BD18A3" w:rsidRPr="00E7319E" w:rsidRDefault="00BD18A3" w:rsidP="00BD18A3">
      <w:pPr>
        <w:pStyle w:val="Voetnoottekst"/>
      </w:pPr>
      <w:r>
        <w:rPr>
          <w:rStyle w:val="Voetnootmarkering"/>
        </w:rPr>
        <w:footnoteRef/>
      </w:r>
      <w:r>
        <w:t xml:space="preserve"> </w:t>
      </w:r>
      <w:r>
        <w:rPr>
          <w:sz w:val="16"/>
          <w:szCs w:val="16"/>
        </w:rPr>
        <w:t xml:space="preserve">G. VERSCHELDEN, </w:t>
      </w:r>
      <w:r>
        <w:rPr>
          <w:i/>
          <w:iCs/>
          <w:sz w:val="16"/>
          <w:szCs w:val="16"/>
        </w:rPr>
        <w:t xml:space="preserve">Handboek Belgisch Personen-, familie- en relatievermogensrecht, </w:t>
      </w:r>
      <w:r>
        <w:rPr>
          <w:sz w:val="16"/>
          <w:szCs w:val="16"/>
        </w:rPr>
        <w:t>Brugge, die Keure, 2023, 1141.</w:t>
      </w:r>
    </w:p>
  </w:footnote>
  <w:footnote w:id="188">
    <w:p w14:paraId="0ED0E00E" w14:textId="77777777" w:rsidR="00BD18A3" w:rsidRPr="00B2083E" w:rsidRDefault="00BD18A3" w:rsidP="00BD18A3">
      <w:pPr>
        <w:pStyle w:val="Voetnoottekst"/>
        <w:rPr>
          <w:sz w:val="16"/>
          <w:szCs w:val="16"/>
        </w:rPr>
      </w:pPr>
      <w:r>
        <w:rPr>
          <w:rStyle w:val="Voetnootmarkering"/>
        </w:rPr>
        <w:footnoteRef/>
      </w:r>
      <w:r>
        <w:t xml:space="preserve"> </w:t>
      </w:r>
      <w:r>
        <w:rPr>
          <w:sz w:val="16"/>
          <w:szCs w:val="16"/>
        </w:rPr>
        <w:t>Art. 1476, § 2, tweede lid oud BW.</w:t>
      </w:r>
    </w:p>
  </w:footnote>
  <w:footnote w:id="189">
    <w:p w14:paraId="7E302178" w14:textId="77777777" w:rsidR="00BD18A3" w:rsidRPr="0048245B" w:rsidRDefault="00BD18A3" w:rsidP="00BD18A3">
      <w:pPr>
        <w:pStyle w:val="Voetnoottekst"/>
        <w:rPr>
          <w:sz w:val="16"/>
        </w:rPr>
      </w:pPr>
      <w:r>
        <w:rPr>
          <w:rStyle w:val="Voetnootmarkering"/>
        </w:rPr>
        <w:footnoteRef/>
      </w:r>
      <w:r w:rsidRPr="0048245B">
        <w:t xml:space="preserve"> </w:t>
      </w:r>
      <w:r w:rsidRPr="0048245B">
        <w:rPr>
          <w:sz w:val="16"/>
        </w:rPr>
        <w:t>Art. 227, 1° oud BW.</w:t>
      </w:r>
    </w:p>
  </w:footnote>
  <w:footnote w:id="190">
    <w:p w14:paraId="1780F521" w14:textId="77777777" w:rsidR="00BD18A3" w:rsidRPr="00911BE5" w:rsidRDefault="00BD18A3" w:rsidP="00BD18A3">
      <w:pPr>
        <w:pStyle w:val="Voetnoottekst"/>
        <w:rPr>
          <w:sz w:val="16"/>
        </w:rPr>
      </w:pPr>
      <w:r>
        <w:rPr>
          <w:rStyle w:val="Voetnootmarkering"/>
        </w:rPr>
        <w:footnoteRef/>
      </w:r>
      <w:r w:rsidRPr="00911BE5">
        <w:t xml:space="preserve"> </w:t>
      </w:r>
      <w:r w:rsidRPr="00911BE5">
        <w:rPr>
          <w:sz w:val="16"/>
        </w:rPr>
        <w:t>Art. 1476, §</w:t>
      </w:r>
      <w:r>
        <w:rPr>
          <w:sz w:val="16"/>
        </w:rPr>
        <w:t xml:space="preserve"> </w:t>
      </w:r>
      <w:r w:rsidRPr="00911BE5">
        <w:rPr>
          <w:sz w:val="16"/>
        </w:rPr>
        <w:t>2, eerste lid oud BW.</w:t>
      </w:r>
    </w:p>
  </w:footnote>
  <w:footnote w:id="191">
    <w:p w14:paraId="4948A245" w14:textId="77777777" w:rsidR="00BD18A3" w:rsidRPr="00F2629F" w:rsidRDefault="00BD18A3" w:rsidP="00BD18A3">
      <w:pPr>
        <w:pStyle w:val="Voetnoottekst"/>
        <w:rPr>
          <w:i/>
          <w:sz w:val="16"/>
        </w:rPr>
      </w:pPr>
      <w:r>
        <w:rPr>
          <w:rStyle w:val="Voetnootmarkering"/>
        </w:rPr>
        <w:footnoteRef/>
      </w:r>
      <w:r>
        <w:t xml:space="preserve"> </w:t>
      </w:r>
      <w:r>
        <w:rPr>
          <w:i/>
          <w:sz w:val="16"/>
        </w:rPr>
        <w:t>Ibid.</w:t>
      </w:r>
    </w:p>
  </w:footnote>
  <w:footnote w:id="192">
    <w:p w14:paraId="0285FC26" w14:textId="77777777" w:rsidR="00BD18A3" w:rsidRPr="0048245B" w:rsidRDefault="00BD18A3" w:rsidP="00BD18A3">
      <w:pPr>
        <w:pStyle w:val="Voetnoottekst"/>
      </w:pPr>
      <w:r>
        <w:rPr>
          <w:rStyle w:val="Voetnootmarkering"/>
        </w:rPr>
        <w:footnoteRef/>
      </w:r>
      <w:r w:rsidRPr="0048245B">
        <w:t xml:space="preserve"> </w:t>
      </w:r>
      <w:r w:rsidRPr="0048245B">
        <w:rPr>
          <w:sz w:val="16"/>
          <w:szCs w:val="16"/>
        </w:rPr>
        <w:t>Art. 5.69 BW.</w:t>
      </w:r>
    </w:p>
  </w:footnote>
  <w:footnote w:id="193">
    <w:p w14:paraId="6926F16E" w14:textId="77777777" w:rsidR="00BD18A3" w:rsidRPr="003F2CB6" w:rsidRDefault="00BD18A3" w:rsidP="00BD18A3">
      <w:pPr>
        <w:pStyle w:val="Voetnoottekst"/>
        <w:rPr>
          <w:lang w:val="nl-NL"/>
        </w:rPr>
      </w:pPr>
      <w:r>
        <w:rPr>
          <w:rStyle w:val="Voetnootmarkering"/>
        </w:rPr>
        <w:footnoteRef/>
      </w:r>
      <w:r>
        <w:t xml:space="preserve"> </w:t>
      </w:r>
      <w:r>
        <w:rPr>
          <w:sz w:val="16"/>
          <w:szCs w:val="16"/>
          <w:lang w:val="nl-NL"/>
        </w:rPr>
        <w:t>Art. 5.244, eerste lid, 2° BW.</w:t>
      </w:r>
    </w:p>
  </w:footnote>
  <w:footnote w:id="194">
    <w:p w14:paraId="1608E893" w14:textId="77777777" w:rsidR="00BD18A3" w:rsidRPr="00E64493" w:rsidRDefault="00BD18A3" w:rsidP="00BD18A3">
      <w:pPr>
        <w:pStyle w:val="Voetnoottekst"/>
      </w:pPr>
      <w:r>
        <w:rPr>
          <w:rStyle w:val="Voetnootmarkering"/>
        </w:rPr>
        <w:footnoteRef/>
      </w:r>
      <w: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362-364.</w:t>
      </w:r>
    </w:p>
  </w:footnote>
  <w:footnote w:id="195">
    <w:p w14:paraId="6ECF1130" w14:textId="77777777" w:rsidR="00BD18A3" w:rsidRPr="00CC0782" w:rsidRDefault="00BD18A3" w:rsidP="00BD18A3">
      <w:pPr>
        <w:pStyle w:val="Voetnoottekst"/>
        <w:rPr>
          <w:sz w:val="16"/>
          <w:szCs w:val="16"/>
        </w:rPr>
      </w:pPr>
      <w:r>
        <w:rPr>
          <w:rStyle w:val="Voetnootmarkering"/>
        </w:rPr>
        <w:footnoteRef/>
      </w:r>
      <w:r w:rsidRPr="00CC0782">
        <w:t xml:space="preserve"> </w:t>
      </w:r>
      <w:r w:rsidRPr="00CC0782">
        <w:rPr>
          <w:sz w:val="16"/>
          <w:szCs w:val="16"/>
        </w:rPr>
        <w:t xml:space="preserve">Art. 229, § 2 oud BW; art. 1255, § 1 en </w:t>
      </w:r>
      <w:r>
        <w:rPr>
          <w:sz w:val="16"/>
          <w:szCs w:val="16"/>
        </w:rPr>
        <w:t>3</w:t>
      </w:r>
      <w:r w:rsidRPr="00CC0782">
        <w:rPr>
          <w:sz w:val="16"/>
          <w:szCs w:val="16"/>
        </w:rPr>
        <w:t xml:space="preserve"> Ger.W.</w:t>
      </w:r>
    </w:p>
  </w:footnote>
  <w:footnote w:id="196">
    <w:p w14:paraId="18D34AB6" w14:textId="77777777" w:rsidR="00BD18A3" w:rsidRPr="0047765E" w:rsidRDefault="00BD18A3" w:rsidP="00BD18A3">
      <w:pPr>
        <w:pStyle w:val="Voetnoottekst"/>
      </w:pPr>
      <w:r>
        <w:rPr>
          <w:rStyle w:val="Voetnootmarkering"/>
        </w:rPr>
        <w:footnoteRef/>
      </w:r>
      <w:r>
        <w:t xml:space="preserve"> </w:t>
      </w:r>
      <w:r>
        <w:rPr>
          <w:sz w:val="16"/>
          <w:szCs w:val="16"/>
        </w:rPr>
        <w:t xml:space="preserve">Art. 229, § 3 oud BW; </w:t>
      </w:r>
      <w:r w:rsidRPr="00CC0782">
        <w:rPr>
          <w:sz w:val="16"/>
          <w:szCs w:val="16"/>
        </w:rPr>
        <w:t xml:space="preserve">art. 1255, § </w:t>
      </w:r>
      <w:r>
        <w:rPr>
          <w:sz w:val="16"/>
          <w:szCs w:val="16"/>
        </w:rPr>
        <w:t>2-3</w:t>
      </w:r>
      <w:r w:rsidRPr="00CC0782">
        <w:rPr>
          <w:sz w:val="16"/>
          <w:szCs w:val="16"/>
        </w:rPr>
        <w:t xml:space="preserve"> Ger.W.</w:t>
      </w:r>
      <w:r>
        <w:rPr>
          <w:sz w:val="16"/>
          <w:szCs w:val="16"/>
        </w:rP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363.</w:t>
      </w:r>
    </w:p>
  </w:footnote>
  <w:footnote w:id="197">
    <w:p w14:paraId="7CE5EDB9" w14:textId="77777777" w:rsidR="00BD18A3" w:rsidRPr="00711545" w:rsidRDefault="00BD18A3" w:rsidP="00BD18A3">
      <w:pPr>
        <w:pStyle w:val="Voetnoottekst"/>
        <w:rPr>
          <w:sz w:val="16"/>
          <w:szCs w:val="16"/>
          <w:lang w:val="en-US"/>
        </w:rPr>
      </w:pPr>
      <w:r>
        <w:rPr>
          <w:rStyle w:val="Voetnootmarkering"/>
        </w:rPr>
        <w:footnoteRef/>
      </w:r>
      <w:r w:rsidRPr="00711545">
        <w:rPr>
          <w:lang w:val="en-US"/>
        </w:rPr>
        <w:t xml:space="preserve"> </w:t>
      </w:r>
      <w:r w:rsidRPr="00711545">
        <w:rPr>
          <w:sz w:val="16"/>
          <w:szCs w:val="16"/>
          <w:lang w:val="en-US"/>
        </w:rPr>
        <w:t xml:space="preserve">Art. 229, § 2-3 oud BW; art. 1255, § </w:t>
      </w:r>
      <w:r>
        <w:rPr>
          <w:sz w:val="16"/>
          <w:szCs w:val="16"/>
          <w:lang w:val="en-US"/>
        </w:rPr>
        <w:t>1</w:t>
      </w:r>
      <w:r w:rsidRPr="00711545">
        <w:rPr>
          <w:sz w:val="16"/>
          <w:szCs w:val="16"/>
          <w:lang w:val="en-US"/>
        </w:rPr>
        <w:t>-3 Ger.W</w:t>
      </w:r>
      <w:r>
        <w:rPr>
          <w:sz w:val="16"/>
          <w:szCs w:val="16"/>
          <w:lang w:val="en-US"/>
        </w:rPr>
        <w:t>.</w:t>
      </w:r>
    </w:p>
  </w:footnote>
  <w:footnote w:id="198">
    <w:p w14:paraId="1BDDC899" w14:textId="77777777" w:rsidR="00BD18A3" w:rsidRPr="00EF7C41" w:rsidRDefault="00BD18A3" w:rsidP="00BD18A3">
      <w:pPr>
        <w:pStyle w:val="Voetnoottekst"/>
        <w:rPr>
          <w:lang w:val="en-US"/>
        </w:rPr>
      </w:pPr>
      <w:r>
        <w:rPr>
          <w:rStyle w:val="Voetnootmarkering"/>
        </w:rPr>
        <w:footnoteRef/>
      </w:r>
      <w:r w:rsidRPr="00EF7C41">
        <w:rPr>
          <w:lang w:val="en-US"/>
        </w:rPr>
        <w:t xml:space="preserve"> </w:t>
      </w:r>
      <w:r w:rsidRPr="00EF7C41">
        <w:rPr>
          <w:sz w:val="16"/>
          <w:szCs w:val="16"/>
          <w:lang w:val="en-US"/>
        </w:rPr>
        <w:t>Art. 229, § 2 oud BW; art. 1255, § 1 en 3 Ger.W.</w:t>
      </w:r>
    </w:p>
  </w:footnote>
  <w:footnote w:id="199">
    <w:p w14:paraId="266548C3" w14:textId="77777777" w:rsidR="00BD18A3" w:rsidRPr="00EF7C41" w:rsidRDefault="00BD18A3" w:rsidP="00BD18A3">
      <w:pPr>
        <w:pStyle w:val="Voetnoottekst"/>
        <w:rPr>
          <w:lang w:val="en-US"/>
        </w:rPr>
      </w:pPr>
      <w:r>
        <w:rPr>
          <w:rStyle w:val="Voetnootmarkering"/>
        </w:rPr>
        <w:footnoteRef/>
      </w:r>
      <w:r w:rsidRPr="00EF7C41">
        <w:rPr>
          <w:lang w:val="en-US"/>
        </w:rPr>
        <w:t xml:space="preserve"> </w:t>
      </w:r>
      <w:r w:rsidRPr="00EF7C41">
        <w:rPr>
          <w:sz w:val="16"/>
          <w:szCs w:val="16"/>
          <w:lang w:val="en-US"/>
        </w:rPr>
        <w:t>Art. 229, § 3 oud BW; art. 1255, § 2-3 Ger.W</w:t>
      </w:r>
      <w:r>
        <w:rPr>
          <w:sz w:val="16"/>
          <w:szCs w:val="16"/>
          <w:lang w:val="en-US"/>
        </w:rPr>
        <w:t>.</w:t>
      </w:r>
    </w:p>
  </w:footnote>
  <w:footnote w:id="200">
    <w:p w14:paraId="16A516A4" w14:textId="77777777" w:rsidR="00BD18A3" w:rsidRPr="008B566B" w:rsidRDefault="00BD18A3" w:rsidP="00BD18A3">
      <w:pPr>
        <w:pStyle w:val="Voetnoottekst"/>
      </w:pPr>
      <w:r>
        <w:rPr>
          <w:rStyle w:val="Voetnootmarkering"/>
        </w:rPr>
        <w:footnoteRef/>
      </w:r>
      <w:r w:rsidRPr="008B566B">
        <w:t xml:space="preserve"> </w:t>
      </w:r>
      <w:r w:rsidRPr="008B566B">
        <w:rPr>
          <w:sz w:val="16"/>
          <w:szCs w:val="16"/>
        </w:rPr>
        <w:t>Art. 5.69 BW.</w:t>
      </w:r>
    </w:p>
  </w:footnote>
  <w:footnote w:id="201">
    <w:p w14:paraId="56625516" w14:textId="77777777" w:rsidR="00BD18A3" w:rsidRPr="004944B8" w:rsidRDefault="00BD18A3" w:rsidP="00BD18A3">
      <w:pPr>
        <w:pStyle w:val="Voetnoottekst"/>
      </w:pPr>
      <w:r>
        <w:rPr>
          <w:rStyle w:val="Voetnootmarkering"/>
        </w:rPr>
        <w:footnoteRef/>
      </w:r>
      <w:r>
        <w:t xml:space="preserve"> </w:t>
      </w:r>
      <w:r>
        <w:rPr>
          <w:sz w:val="16"/>
          <w:szCs w:val="16"/>
        </w:rPr>
        <w:t xml:space="preserve">E. ALOFS, P.-J. DE DECKER en A.-S. VANDENBOSCH, </w:t>
      </w:r>
      <w:r w:rsidRPr="00824B89">
        <w:rPr>
          <w:i/>
          <w:iCs/>
          <w:sz w:val="16"/>
          <w:szCs w:val="21"/>
        </w:rPr>
        <w:t>Vereffening en verdeling</w:t>
      </w:r>
      <w:r>
        <w:rPr>
          <w:i/>
          <w:iCs/>
          <w:sz w:val="16"/>
          <w:szCs w:val="21"/>
        </w:rPr>
        <w:t>:</w:t>
      </w:r>
      <w:r w:rsidRPr="00824B89">
        <w:rPr>
          <w:i/>
          <w:iCs/>
          <w:sz w:val="16"/>
          <w:szCs w:val="21"/>
        </w:rPr>
        <w:t xml:space="preserve"> Studentensyllabus</w:t>
      </w:r>
      <w:r>
        <w:rPr>
          <w:i/>
          <w:iCs/>
          <w:sz w:val="16"/>
          <w:szCs w:val="21"/>
        </w:rPr>
        <w:t>,</w:t>
      </w:r>
      <w:r>
        <w:rPr>
          <w:sz w:val="16"/>
          <w:szCs w:val="21"/>
        </w:rPr>
        <w:t xml:space="preserve"> Antwerpen,</w:t>
      </w:r>
      <w:r>
        <w:rPr>
          <w:i/>
          <w:iCs/>
          <w:sz w:val="16"/>
          <w:szCs w:val="21"/>
        </w:rPr>
        <w:t xml:space="preserve"> </w:t>
      </w:r>
      <w:r>
        <w:rPr>
          <w:sz w:val="16"/>
          <w:szCs w:val="21"/>
        </w:rPr>
        <w:t>Intersentia, 2021, 1.</w:t>
      </w:r>
    </w:p>
  </w:footnote>
  <w:footnote w:id="202">
    <w:p w14:paraId="15672016" w14:textId="77777777" w:rsidR="00BD18A3" w:rsidRPr="00824B89" w:rsidRDefault="00BD18A3" w:rsidP="00BD18A3">
      <w:pPr>
        <w:pStyle w:val="Voetnoottekst"/>
        <w:rPr>
          <w:sz w:val="16"/>
          <w:szCs w:val="16"/>
        </w:rPr>
      </w:pPr>
      <w:r>
        <w:rPr>
          <w:rStyle w:val="Voetnootmarkering"/>
        </w:rPr>
        <w:footnoteRef/>
      </w:r>
      <w:r>
        <w:t xml:space="preserve"> </w:t>
      </w:r>
      <w:r>
        <w:rPr>
          <w:sz w:val="16"/>
          <w:szCs w:val="16"/>
        </w:rPr>
        <w:t xml:space="preserve">E. ALOFS, P.-J. DE DECKER en A.-S. VANDENBOSCH, </w:t>
      </w:r>
      <w:r w:rsidRPr="00824B89">
        <w:rPr>
          <w:i/>
          <w:iCs/>
          <w:sz w:val="16"/>
          <w:szCs w:val="21"/>
        </w:rPr>
        <w:t>Vereffening en verdeling</w:t>
      </w:r>
      <w:r>
        <w:rPr>
          <w:i/>
          <w:iCs/>
          <w:sz w:val="16"/>
          <w:szCs w:val="21"/>
        </w:rPr>
        <w:t>:</w:t>
      </w:r>
      <w:r w:rsidRPr="00824B89">
        <w:rPr>
          <w:i/>
          <w:iCs/>
          <w:sz w:val="16"/>
          <w:szCs w:val="21"/>
        </w:rPr>
        <w:t xml:space="preserve"> Studentensyllabus</w:t>
      </w:r>
      <w:r>
        <w:rPr>
          <w:i/>
          <w:iCs/>
          <w:sz w:val="16"/>
          <w:szCs w:val="21"/>
        </w:rPr>
        <w:t>,</w:t>
      </w:r>
      <w:r>
        <w:rPr>
          <w:sz w:val="16"/>
          <w:szCs w:val="21"/>
        </w:rPr>
        <w:t xml:space="preserve"> Antwerpen,</w:t>
      </w:r>
      <w:r>
        <w:rPr>
          <w:i/>
          <w:iCs/>
          <w:sz w:val="16"/>
          <w:szCs w:val="21"/>
        </w:rPr>
        <w:t xml:space="preserve"> </w:t>
      </w:r>
      <w:r>
        <w:rPr>
          <w:sz w:val="16"/>
          <w:szCs w:val="21"/>
        </w:rPr>
        <w:t>Intersentia, 2021, 9.</w:t>
      </w:r>
    </w:p>
  </w:footnote>
  <w:footnote w:id="203">
    <w:p w14:paraId="30469F78" w14:textId="77777777" w:rsidR="00BD18A3" w:rsidRPr="00AC01D9" w:rsidRDefault="00BD18A3" w:rsidP="00BD18A3">
      <w:pPr>
        <w:pStyle w:val="Voetnoottekst"/>
      </w:pPr>
      <w:r>
        <w:rPr>
          <w:rStyle w:val="Voetnootmarkering"/>
        </w:rPr>
        <w:footnoteRef/>
      </w:r>
      <w:r>
        <w:t xml:space="preserve"> </w:t>
      </w:r>
      <w:r w:rsidRPr="001C5001">
        <w:rPr>
          <w:sz w:val="16"/>
          <w:szCs w:val="16"/>
        </w:rPr>
        <w:t xml:space="preserve">F. SWENNEN, </w:t>
      </w:r>
      <w:r w:rsidRPr="001C5001">
        <w:rPr>
          <w:i/>
          <w:iCs/>
          <w:sz w:val="16"/>
          <w:szCs w:val="16"/>
        </w:rPr>
        <w:t>Het personen</w:t>
      </w:r>
      <w:r>
        <w:rPr>
          <w:i/>
          <w:iCs/>
          <w:sz w:val="16"/>
          <w:szCs w:val="16"/>
        </w:rPr>
        <w:t xml:space="preserve">- en familierecht, </w:t>
      </w:r>
      <w:r>
        <w:rPr>
          <w:sz w:val="16"/>
          <w:szCs w:val="16"/>
        </w:rPr>
        <w:t>Antwerpen, Intersentia, 2023, 365-366.</w:t>
      </w:r>
    </w:p>
  </w:footnote>
  <w:footnote w:id="204">
    <w:p w14:paraId="20609045" w14:textId="77777777" w:rsidR="00BD18A3" w:rsidRPr="00011884" w:rsidRDefault="00BD18A3" w:rsidP="00BD18A3">
      <w:pPr>
        <w:pStyle w:val="Voetnoottekst"/>
        <w:rPr>
          <w:sz w:val="16"/>
          <w:lang w:val="en-US"/>
        </w:rPr>
      </w:pPr>
      <w:r>
        <w:rPr>
          <w:rStyle w:val="Voetnootmarkering"/>
        </w:rPr>
        <w:footnoteRef/>
      </w:r>
      <w:r w:rsidRPr="00011884">
        <w:rPr>
          <w:lang w:val="en-US"/>
        </w:rPr>
        <w:t xml:space="preserve"> </w:t>
      </w:r>
      <w:r w:rsidRPr="00011884">
        <w:rPr>
          <w:sz w:val="16"/>
          <w:lang w:val="en-US"/>
        </w:rPr>
        <w:t>Art. 301, §</w:t>
      </w:r>
      <w:r>
        <w:rPr>
          <w:sz w:val="16"/>
          <w:lang w:val="en-US"/>
        </w:rPr>
        <w:t xml:space="preserve"> </w:t>
      </w:r>
      <w:r w:rsidRPr="00011884">
        <w:rPr>
          <w:sz w:val="16"/>
          <w:lang w:val="en-US"/>
        </w:rPr>
        <w:t>1 oud BW.</w:t>
      </w:r>
    </w:p>
  </w:footnote>
  <w:footnote w:id="205">
    <w:p w14:paraId="338B5A18" w14:textId="77777777" w:rsidR="00BD18A3" w:rsidRPr="00011884" w:rsidRDefault="00BD18A3" w:rsidP="00BD18A3">
      <w:pPr>
        <w:pStyle w:val="Voetnoottekst"/>
        <w:rPr>
          <w:lang w:val="en-US"/>
        </w:rPr>
      </w:pPr>
      <w:r>
        <w:rPr>
          <w:rStyle w:val="Voetnootmarkering"/>
        </w:rPr>
        <w:footnoteRef/>
      </w:r>
      <w:r w:rsidRPr="00011884">
        <w:rPr>
          <w:lang w:val="en-US"/>
        </w:rPr>
        <w:t xml:space="preserve"> </w:t>
      </w:r>
      <w:r w:rsidRPr="00011884">
        <w:rPr>
          <w:sz w:val="16"/>
          <w:lang w:val="en-US"/>
        </w:rPr>
        <w:t xml:space="preserve">Art. 301, </w:t>
      </w:r>
      <w:r>
        <w:rPr>
          <w:sz w:val="16"/>
          <w:lang w:val="en-US"/>
        </w:rPr>
        <w:t>§ 2</w:t>
      </w:r>
      <w:r w:rsidRPr="00011884">
        <w:rPr>
          <w:sz w:val="16"/>
          <w:lang w:val="en-US"/>
        </w:rPr>
        <w:t xml:space="preserve"> oud BW.</w:t>
      </w:r>
    </w:p>
  </w:footnote>
  <w:footnote w:id="206">
    <w:p w14:paraId="040C18F3" w14:textId="77777777" w:rsidR="00BD18A3" w:rsidRPr="002458D5" w:rsidRDefault="00BD18A3" w:rsidP="00BD18A3">
      <w:pPr>
        <w:pStyle w:val="Voetnoottekst"/>
        <w:rPr>
          <w:sz w:val="16"/>
          <w:szCs w:val="16"/>
          <w:lang w:val="en-US"/>
        </w:rPr>
      </w:pPr>
      <w:r>
        <w:rPr>
          <w:rStyle w:val="Voetnootmarkering"/>
        </w:rPr>
        <w:footnoteRef/>
      </w:r>
      <w:r w:rsidRPr="002458D5">
        <w:rPr>
          <w:lang w:val="en-US"/>
        </w:rPr>
        <w:t xml:space="preserve"> </w:t>
      </w:r>
      <w:r w:rsidRPr="002458D5">
        <w:rPr>
          <w:sz w:val="16"/>
          <w:szCs w:val="16"/>
          <w:lang w:val="en-US"/>
        </w:rPr>
        <w:t xml:space="preserve">Art. 302 oud </w:t>
      </w:r>
      <w:r>
        <w:rPr>
          <w:sz w:val="16"/>
          <w:szCs w:val="16"/>
          <w:lang w:val="en-US"/>
        </w:rPr>
        <w:t>BW.</w:t>
      </w:r>
    </w:p>
  </w:footnote>
  <w:footnote w:id="207">
    <w:p w14:paraId="5F25C7AA" w14:textId="77777777" w:rsidR="00BD18A3" w:rsidRPr="0098763C" w:rsidRDefault="00BD18A3" w:rsidP="00BD18A3">
      <w:pPr>
        <w:pStyle w:val="Voetnoottekst"/>
        <w:rPr>
          <w:sz w:val="16"/>
          <w:szCs w:val="16"/>
          <w:lang w:val="en-US"/>
        </w:rPr>
      </w:pPr>
      <w:r>
        <w:rPr>
          <w:rStyle w:val="Voetnootmarkering"/>
        </w:rPr>
        <w:footnoteRef/>
      </w:r>
      <w:r w:rsidRPr="0098763C">
        <w:rPr>
          <w:lang w:val="en-US"/>
        </w:rPr>
        <w:t xml:space="preserve"> </w:t>
      </w:r>
      <w:r>
        <w:rPr>
          <w:sz w:val="16"/>
          <w:szCs w:val="16"/>
          <w:lang w:val="en-US"/>
        </w:rPr>
        <w:t>Art. 1256 Ger.W.</w:t>
      </w:r>
    </w:p>
  </w:footnote>
  <w:footnote w:id="208">
    <w:p w14:paraId="4769B719" w14:textId="77777777" w:rsidR="00BD18A3" w:rsidRPr="0098763C" w:rsidRDefault="00BD18A3" w:rsidP="00BD18A3">
      <w:pPr>
        <w:pStyle w:val="Voetnoottekst"/>
        <w:rPr>
          <w:lang w:val="en-US"/>
        </w:rPr>
      </w:pPr>
      <w:r>
        <w:rPr>
          <w:rStyle w:val="Voetnootmarkering"/>
        </w:rPr>
        <w:footnoteRef/>
      </w:r>
      <w:r w:rsidRPr="0098763C">
        <w:rPr>
          <w:lang w:val="en-US"/>
        </w:rPr>
        <w:t xml:space="preserve"> </w:t>
      </w:r>
      <w:r w:rsidRPr="002458D5">
        <w:rPr>
          <w:sz w:val="16"/>
          <w:szCs w:val="16"/>
          <w:lang w:val="en-US"/>
        </w:rPr>
        <w:t xml:space="preserve">Art. 302 oud </w:t>
      </w:r>
      <w:r>
        <w:rPr>
          <w:sz w:val="16"/>
          <w:szCs w:val="16"/>
          <w:lang w:val="en-US"/>
        </w:rPr>
        <w:t>BW; art. 1280 Ger.W.</w:t>
      </w:r>
    </w:p>
  </w:footnote>
  <w:footnote w:id="209">
    <w:p w14:paraId="3DA21AF7" w14:textId="77777777" w:rsidR="00BD18A3" w:rsidRPr="00745884" w:rsidRDefault="00BD18A3" w:rsidP="00BD18A3">
      <w:pPr>
        <w:pStyle w:val="Voetnoottekst"/>
        <w:rPr>
          <w:sz w:val="16"/>
          <w:szCs w:val="16"/>
        </w:rPr>
      </w:pPr>
      <w:r>
        <w:rPr>
          <w:rStyle w:val="Voetnootmarkering"/>
        </w:rPr>
        <w:footnoteRef/>
      </w:r>
      <w:r>
        <w:t xml:space="preserve"> </w:t>
      </w:r>
      <w:r>
        <w:rPr>
          <w:sz w:val="16"/>
          <w:szCs w:val="16"/>
        </w:rPr>
        <w:t xml:space="preserve">Art. 304 oud BW; G. VERSCHELDEN, </w:t>
      </w:r>
      <w:r>
        <w:rPr>
          <w:i/>
          <w:iCs/>
          <w:sz w:val="16"/>
          <w:szCs w:val="16"/>
        </w:rPr>
        <w:t xml:space="preserve">Handboek Belgisch Personen-, familie- en relatievermogensrecht, </w:t>
      </w:r>
      <w:r>
        <w:rPr>
          <w:sz w:val="16"/>
          <w:szCs w:val="16"/>
        </w:rPr>
        <w:t>Brugge, die Keure, 2023, 1037.</w:t>
      </w:r>
    </w:p>
  </w:footnote>
  <w:footnote w:id="210">
    <w:p w14:paraId="0EF14A41" w14:textId="77777777" w:rsidR="00BD18A3" w:rsidRPr="00932DDD" w:rsidRDefault="00BD18A3" w:rsidP="00BD18A3">
      <w:pPr>
        <w:pStyle w:val="Voetnoottekst"/>
        <w:rPr>
          <w:sz w:val="16"/>
          <w:szCs w:val="16"/>
        </w:rPr>
      </w:pPr>
      <w:r>
        <w:rPr>
          <w:rStyle w:val="Voetnootmarkering"/>
        </w:rPr>
        <w:footnoteRef/>
      </w:r>
      <w:r>
        <w:t xml:space="preserve"> </w:t>
      </w:r>
      <w:r>
        <w:rPr>
          <w:sz w:val="16"/>
          <w:szCs w:val="16"/>
        </w:rPr>
        <w:t>Art. 1479, derde lid oud BW.</w:t>
      </w:r>
    </w:p>
  </w:footnote>
  <w:footnote w:id="211">
    <w:p w14:paraId="59BA4EE4" w14:textId="77777777" w:rsidR="00BD18A3" w:rsidRPr="00745884" w:rsidRDefault="00BD18A3" w:rsidP="00BD18A3">
      <w:pPr>
        <w:pStyle w:val="Voetnoottekst"/>
        <w:rPr>
          <w:lang w:val="nl-NL"/>
        </w:rPr>
      </w:pPr>
      <w:r>
        <w:rPr>
          <w:rStyle w:val="Voetnootmarkering"/>
        </w:rPr>
        <w:footnoteRef/>
      </w:r>
      <w:r>
        <w:t xml:space="preserve"> </w:t>
      </w:r>
      <w:r>
        <w:rPr>
          <w:sz w:val="16"/>
          <w:szCs w:val="16"/>
        </w:rPr>
        <w:t xml:space="preserve">Art. 1477, § 3 oud BW; G. VERSCHELDEN, </w:t>
      </w:r>
      <w:r>
        <w:rPr>
          <w:i/>
          <w:iCs/>
          <w:sz w:val="16"/>
          <w:szCs w:val="16"/>
        </w:rPr>
        <w:t xml:space="preserve">Handboek Belgisch Personen-, familie- en relatievermogensrecht, </w:t>
      </w:r>
      <w:r>
        <w:rPr>
          <w:sz w:val="16"/>
          <w:szCs w:val="16"/>
        </w:rPr>
        <w:t>Brugge, die Keure, 2023, 1137.</w:t>
      </w:r>
    </w:p>
  </w:footnote>
  <w:footnote w:id="212">
    <w:p w14:paraId="5B717245" w14:textId="77777777" w:rsidR="00BD18A3" w:rsidRPr="00487097" w:rsidRDefault="00BD18A3" w:rsidP="00BD18A3">
      <w:pPr>
        <w:spacing w:line="240" w:lineRule="auto"/>
        <w:rPr>
          <w:sz w:val="16"/>
          <w:szCs w:val="21"/>
        </w:rPr>
      </w:pPr>
      <w:r>
        <w:rPr>
          <w:rStyle w:val="Voetnootmarkering"/>
        </w:rPr>
        <w:footnoteRef/>
      </w:r>
      <w:r w:rsidRPr="006E0458">
        <w:t xml:space="preserve"> </w:t>
      </w:r>
      <w:r>
        <w:rPr>
          <w:sz w:val="16"/>
          <w:szCs w:val="21"/>
        </w:rPr>
        <w:t xml:space="preserve">Gent 6 december 2022, </w:t>
      </w:r>
      <w:r w:rsidRPr="00487097">
        <w:rPr>
          <w:i/>
          <w:iCs/>
          <w:sz w:val="16"/>
          <w:szCs w:val="21"/>
        </w:rPr>
        <w:t>RW</w:t>
      </w:r>
      <w:r>
        <w:rPr>
          <w:i/>
          <w:iCs/>
          <w:sz w:val="16"/>
          <w:szCs w:val="21"/>
        </w:rPr>
        <w:t xml:space="preserve"> </w:t>
      </w:r>
      <w:r>
        <w:rPr>
          <w:sz w:val="16"/>
          <w:szCs w:val="21"/>
        </w:rPr>
        <w:t xml:space="preserve">2022-23, 1116; </w:t>
      </w:r>
      <w:r w:rsidRPr="006E0458">
        <w:rPr>
          <w:sz w:val="16"/>
          <w:szCs w:val="21"/>
        </w:rPr>
        <w:t xml:space="preserve">Vred. </w:t>
      </w:r>
      <w:r w:rsidRPr="00DB524C">
        <w:rPr>
          <w:sz w:val="16"/>
          <w:szCs w:val="21"/>
        </w:rPr>
        <w:t xml:space="preserve">Fléron 17 juni 2013, </w:t>
      </w:r>
      <w:r w:rsidRPr="00DB524C">
        <w:rPr>
          <w:i/>
          <w:iCs/>
          <w:sz w:val="16"/>
          <w:szCs w:val="21"/>
        </w:rPr>
        <w:t xml:space="preserve">T.Vred. </w:t>
      </w:r>
      <w:r w:rsidRPr="00DB524C">
        <w:rPr>
          <w:sz w:val="16"/>
          <w:szCs w:val="21"/>
        </w:rPr>
        <w:t xml:space="preserve">2014, 38; Vred. </w:t>
      </w:r>
      <w:r>
        <w:rPr>
          <w:sz w:val="16"/>
          <w:szCs w:val="21"/>
          <w:lang w:val="en-US"/>
        </w:rPr>
        <w:t xml:space="preserve">Zomergem 27 mei 2005, </w:t>
      </w:r>
      <w:r>
        <w:rPr>
          <w:i/>
          <w:iCs/>
          <w:sz w:val="16"/>
          <w:szCs w:val="21"/>
          <w:lang w:val="en-US"/>
        </w:rPr>
        <w:t xml:space="preserve">T.Not. </w:t>
      </w:r>
      <w:r>
        <w:rPr>
          <w:sz w:val="16"/>
          <w:szCs w:val="21"/>
          <w:lang w:val="en-US"/>
        </w:rPr>
        <w:t xml:space="preserve">2005, 495 en </w:t>
      </w:r>
      <w:r>
        <w:rPr>
          <w:i/>
          <w:iCs/>
          <w:sz w:val="16"/>
          <w:szCs w:val="21"/>
          <w:lang w:val="en-US"/>
        </w:rPr>
        <w:t xml:space="preserve">T.Vred. </w:t>
      </w:r>
      <w:r>
        <w:rPr>
          <w:sz w:val="16"/>
          <w:szCs w:val="21"/>
          <w:lang w:val="en-US"/>
        </w:rPr>
        <w:t xml:space="preserve">2007, 345; </w:t>
      </w:r>
      <w:r w:rsidRPr="004151B8">
        <w:rPr>
          <w:sz w:val="16"/>
          <w:szCs w:val="16"/>
          <w:lang w:val="en-US"/>
        </w:rPr>
        <w:t xml:space="preserve">N. DANDOY, “Les effets alimentaires de la vie en couple” in J. HAUSER en J.-L. RENCHON (eds.), </w:t>
      </w:r>
      <w:r w:rsidRPr="004151B8">
        <w:rPr>
          <w:i/>
          <w:iCs/>
          <w:sz w:val="16"/>
          <w:szCs w:val="16"/>
          <w:lang w:val="en-US"/>
        </w:rPr>
        <w:t>Différenciation ou convergence des statuts juridiques du couple</w:t>
      </w:r>
      <w:r>
        <w:rPr>
          <w:i/>
          <w:iCs/>
          <w:sz w:val="16"/>
          <w:szCs w:val="16"/>
          <w:lang w:val="en-US"/>
        </w:rPr>
        <w:t xml:space="preserve"> marié et du couple non marié? </w:t>
      </w:r>
      <w:r w:rsidRPr="00F33087">
        <w:rPr>
          <w:i/>
          <w:iCs/>
          <w:sz w:val="16"/>
          <w:szCs w:val="16"/>
        </w:rPr>
        <w:t xml:space="preserve">Droit belge et </w:t>
      </w:r>
      <w:r w:rsidRPr="00F33087">
        <w:rPr>
          <w:sz w:val="16"/>
          <w:szCs w:val="16"/>
        </w:rPr>
        <w:t>français, Brussel, Bruylant, 2005, (59) 75-76; C. DECLERCK, “</w:t>
      </w:r>
      <w:r w:rsidRPr="00D10CFB">
        <w:rPr>
          <w:sz w:val="16"/>
          <w:szCs w:val="16"/>
        </w:rPr>
        <w:t>Huwen of samenwonen? Enkele familiaal vermogensrechtelijke aspecten</w:t>
      </w:r>
      <w:r>
        <w:rPr>
          <w:sz w:val="16"/>
          <w:szCs w:val="16"/>
        </w:rPr>
        <w:t xml:space="preserve">” in C. </w:t>
      </w:r>
      <w:r w:rsidRPr="00D10CFB">
        <w:rPr>
          <w:sz w:val="16"/>
          <w:szCs w:val="16"/>
        </w:rPr>
        <w:t>CASTELEIN,</w:t>
      </w:r>
      <w:r>
        <w:rPr>
          <w:sz w:val="16"/>
          <w:szCs w:val="16"/>
        </w:rPr>
        <w:t xml:space="preserve"> A.-L. </w:t>
      </w:r>
      <w:r w:rsidRPr="00D10CFB">
        <w:rPr>
          <w:sz w:val="16"/>
          <w:szCs w:val="16"/>
        </w:rPr>
        <w:t>VERBEKE</w:t>
      </w:r>
      <w:r>
        <w:rPr>
          <w:sz w:val="16"/>
          <w:szCs w:val="16"/>
        </w:rPr>
        <w:t xml:space="preserve"> en L. </w:t>
      </w:r>
      <w:r w:rsidRPr="00D10CFB">
        <w:rPr>
          <w:sz w:val="16"/>
          <w:szCs w:val="16"/>
        </w:rPr>
        <w:t>WEYTS</w:t>
      </w:r>
      <w:r>
        <w:rPr>
          <w:sz w:val="16"/>
          <w:szCs w:val="16"/>
        </w:rPr>
        <w:t xml:space="preserve"> (eds</w:t>
      </w:r>
      <w:r w:rsidRPr="00D10CFB">
        <w:rPr>
          <w:sz w:val="16"/>
          <w:szCs w:val="16"/>
        </w:rPr>
        <w:t>.</w:t>
      </w:r>
      <w:r>
        <w:rPr>
          <w:sz w:val="16"/>
          <w:szCs w:val="16"/>
        </w:rPr>
        <w:t>),</w:t>
      </w:r>
      <w:r w:rsidRPr="00D10CFB">
        <w:rPr>
          <w:sz w:val="16"/>
          <w:szCs w:val="16"/>
        </w:rPr>
        <w:t xml:space="preserve"> </w:t>
      </w:r>
      <w:r>
        <w:rPr>
          <w:i/>
          <w:iCs/>
          <w:sz w:val="16"/>
          <w:szCs w:val="16"/>
        </w:rPr>
        <w:t xml:space="preserve">Leuvense </w:t>
      </w:r>
      <w:r w:rsidRPr="00D10CFB">
        <w:rPr>
          <w:i/>
          <w:iCs/>
          <w:sz w:val="16"/>
          <w:szCs w:val="16"/>
        </w:rPr>
        <w:t>Notariële actualiteit 2009-2010</w:t>
      </w:r>
      <w:r w:rsidRPr="00D10CFB">
        <w:rPr>
          <w:sz w:val="16"/>
          <w:szCs w:val="16"/>
        </w:rPr>
        <w:t>,</w:t>
      </w:r>
      <w:r>
        <w:rPr>
          <w:sz w:val="16"/>
          <w:szCs w:val="16"/>
        </w:rPr>
        <w:t xml:space="preserve"> Gent, Larcier, 2010, (61) 65; B. DELAHAYE, F. TAINMONT en V. LÈBE-DESSARD, </w:t>
      </w:r>
      <w:r>
        <w:rPr>
          <w:i/>
          <w:iCs/>
          <w:sz w:val="16"/>
          <w:szCs w:val="16"/>
        </w:rPr>
        <w:t xml:space="preserve">La cohabitation légale, </w:t>
      </w:r>
      <w:r>
        <w:rPr>
          <w:sz w:val="16"/>
          <w:szCs w:val="16"/>
        </w:rPr>
        <w:t xml:space="preserve">Brussel, Larcier, 2013, 105-108; </w:t>
      </w:r>
      <w:r w:rsidRPr="001B4EB3">
        <w:rPr>
          <w:sz w:val="16"/>
          <w:szCs w:val="16"/>
        </w:rPr>
        <w:t xml:space="preserve">W. PINTENS, C. DECLERCK en K. VANWINCKELEN, </w:t>
      </w:r>
      <w:r w:rsidRPr="001B4EB3">
        <w:rPr>
          <w:i/>
          <w:iCs/>
          <w:sz w:val="16"/>
          <w:szCs w:val="16"/>
        </w:rPr>
        <w:t>Schets van het familiaal vermogensrecht</w:t>
      </w:r>
      <w:r w:rsidRPr="001B4EB3">
        <w:rPr>
          <w:sz w:val="16"/>
          <w:szCs w:val="16"/>
        </w:rPr>
        <w:t>, Antwerpen, Intersentia, 2012</w:t>
      </w:r>
      <w:r w:rsidRPr="00E13B59">
        <w:rPr>
          <w:sz w:val="16"/>
          <w:szCs w:val="16"/>
        </w:rPr>
        <w:t xml:space="preserve">, 496; P. SENAEVE en C. DECLERCK, </w:t>
      </w:r>
      <w:r w:rsidRPr="00E13B59">
        <w:rPr>
          <w:i/>
          <w:iCs/>
          <w:sz w:val="16"/>
          <w:szCs w:val="16"/>
        </w:rPr>
        <w:t xml:space="preserve">Compendium van het personen- en familierecht, </w:t>
      </w:r>
      <w:r w:rsidRPr="00E13B59">
        <w:rPr>
          <w:sz w:val="16"/>
          <w:szCs w:val="16"/>
        </w:rPr>
        <w:t xml:space="preserve">Leuven, Acco, 2022, 692; F. SWENNEN, “Alimentatie tussen partners” in C. FORDER en A. VERBEKE (eds.), </w:t>
      </w:r>
      <w:r w:rsidRPr="00E13B59">
        <w:rPr>
          <w:i/>
          <w:iCs/>
          <w:sz w:val="16"/>
          <w:szCs w:val="16"/>
        </w:rPr>
        <w:t>Gehuwd of niet, maakt het iets</w:t>
      </w:r>
      <w:r w:rsidRPr="000E013F">
        <w:rPr>
          <w:i/>
          <w:iCs/>
          <w:sz w:val="16"/>
          <w:szCs w:val="16"/>
        </w:rPr>
        <w:t xml:space="preserve"> uit?</w:t>
      </w:r>
      <w:r w:rsidRPr="000E013F">
        <w:rPr>
          <w:sz w:val="16"/>
          <w:szCs w:val="16"/>
        </w:rPr>
        <w:t>, Antwerpen, Intersentia, 2005</w:t>
      </w:r>
      <w:r>
        <w:rPr>
          <w:sz w:val="16"/>
          <w:szCs w:val="16"/>
        </w:rPr>
        <w:t xml:space="preserve">, (285) 304; N. TORFS en E. VAN SOEST, “De redactie van een samenlevingsovereenkomst (wettelijke samenwoning)” in L.  WEYTS, A.-L. VERBEKE en E. GOOVAERTS (eds.), </w:t>
      </w:r>
      <w:r>
        <w:rPr>
          <w:i/>
          <w:iCs/>
          <w:sz w:val="16"/>
          <w:szCs w:val="16"/>
        </w:rPr>
        <w:t xml:space="preserve">Actualia Familiaal Vermogensrecht, </w:t>
      </w:r>
      <w:r>
        <w:rPr>
          <w:sz w:val="16"/>
          <w:szCs w:val="16"/>
        </w:rPr>
        <w:t xml:space="preserve">Leuven, Universitaire Pers Leuven, 2003, (59) 64; </w:t>
      </w:r>
      <w:r w:rsidRPr="00A23D3C">
        <w:rPr>
          <w:sz w:val="16"/>
          <w:szCs w:val="16"/>
        </w:rPr>
        <w:t xml:space="preserve">A.-C. VAN GYSEL, </w:t>
      </w:r>
      <w:r>
        <w:rPr>
          <w:sz w:val="16"/>
          <w:szCs w:val="16"/>
        </w:rPr>
        <w:t>“</w:t>
      </w:r>
      <w:r w:rsidRPr="00A23D3C">
        <w:rPr>
          <w:sz w:val="16"/>
          <w:szCs w:val="16"/>
        </w:rPr>
        <w:t>La cohabitation légale: quo vadis?</w:t>
      </w:r>
      <w:r>
        <w:rPr>
          <w:sz w:val="16"/>
          <w:szCs w:val="16"/>
        </w:rPr>
        <w:t>”</w:t>
      </w:r>
      <w:r w:rsidRPr="00A23D3C">
        <w:rPr>
          <w:sz w:val="16"/>
          <w:szCs w:val="16"/>
        </w:rPr>
        <w:t xml:space="preserve">, </w:t>
      </w:r>
      <w:r w:rsidRPr="00A23D3C">
        <w:rPr>
          <w:i/>
          <w:iCs/>
          <w:sz w:val="16"/>
          <w:szCs w:val="16"/>
        </w:rPr>
        <w:t xml:space="preserve">RTDF </w:t>
      </w:r>
      <w:r>
        <w:rPr>
          <w:sz w:val="16"/>
          <w:szCs w:val="16"/>
        </w:rPr>
        <w:t>2015, (9) 25.</w:t>
      </w:r>
    </w:p>
  </w:footnote>
  <w:footnote w:id="213">
    <w:p w14:paraId="2A399B0F" w14:textId="77777777" w:rsidR="00BD18A3" w:rsidRPr="003F5930" w:rsidRDefault="00BD18A3" w:rsidP="00BD18A3">
      <w:pPr>
        <w:spacing w:line="240" w:lineRule="auto"/>
        <w:rPr>
          <w:sz w:val="16"/>
          <w:szCs w:val="16"/>
        </w:rPr>
      </w:pPr>
      <w:r>
        <w:rPr>
          <w:rStyle w:val="Voetnootmarkering"/>
        </w:rPr>
        <w:footnoteRef/>
      </w:r>
      <w:r>
        <w:t xml:space="preserve"> </w:t>
      </w:r>
      <w:r>
        <w:rPr>
          <w:sz w:val="16"/>
          <w:szCs w:val="16"/>
        </w:rPr>
        <w:t xml:space="preserve">Art. 1479, derde lid oud BW; Vred. Zelzate 7 juli 2009, </w:t>
      </w:r>
      <w:r w:rsidRPr="00190BAC">
        <w:rPr>
          <w:i/>
          <w:iCs/>
          <w:sz w:val="16"/>
          <w:szCs w:val="16"/>
        </w:rPr>
        <w:t>J.dr.jeun</w:t>
      </w:r>
      <w:r>
        <w:rPr>
          <w:sz w:val="16"/>
          <w:szCs w:val="16"/>
        </w:rPr>
        <w:t xml:space="preserve">. 2013, afl. 312, 45, </w:t>
      </w:r>
      <w:r w:rsidRPr="00190BAC">
        <w:rPr>
          <w:i/>
          <w:iCs/>
          <w:sz w:val="16"/>
          <w:szCs w:val="16"/>
        </w:rPr>
        <w:t>RTDF</w:t>
      </w:r>
      <w:r>
        <w:rPr>
          <w:sz w:val="16"/>
          <w:szCs w:val="16"/>
        </w:rPr>
        <w:t xml:space="preserve"> 2012, 876, </w:t>
      </w:r>
      <w:r w:rsidRPr="00190BAC">
        <w:rPr>
          <w:i/>
          <w:iCs/>
          <w:sz w:val="16"/>
          <w:szCs w:val="16"/>
        </w:rPr>
        <w:t>T.Vred</w:t>
      </w:r>
      <w:r>
        <w:rPr>
          <w:i/>
          <w:iCs/>
          <w:sz w:val="16"/>
          <w:szCs w:val="16"/>
        </w:rPr>
        <w:t>.</w:t>
      </w:r>
      <w:r>
        <w:rPr>
          <w:sz w:val="16"/>
          <w:szCs w:val="16"/>
        </w:rPr>
        <w:t xml:space="preserve"> 2012, 27 en </w:t>
      </w:r>
      <w:r w:rsidRPr="00190BAC">
        <w:rPr>
          <w:i/>
          <w:iCs/>
          <w:sz w:val="16"/>
          <w:szCs w:val="16"/>
        </w:rPr>
        <w:t>RW</w:t>
      </w:r>
      <w:r>
        <w:rPr>
          <w:sz w:val="16"/>
          <w:szCs w:val="16"/>
        </w:rPr>
        <w:t xml:space="preserve"> 2012-13, 627, noot S. EGGERMONT; Vred. Brussel 11 augustus 2009, </w:t>
      </w:r>
      <w:r w:rsidRPr="00487097">
        <w:rPr>
          <w:i/>
          <w:iCs/>
          <w:sz w:val="16"/>
          <w:szCs w:val="16"/>
        </w:rPr>
        <w:t>JT</w:t>
      </w:r>
      <w:r>
        <w:rPr>
          <w:sz w:val="16"/>
          <w:szCs w:val="16"/>
        </w:rPr>
        <w:t xml:space="preserve"> 2010, 14; E. ALOFS, “De uitbreiding van de schadeloosstelling overeenkomstig resp. regelingen inzake arbeidsongevallen, beroepsziekten en het asbestfonds naar wettelijk samenwonende partners”, </w:t>
      </w:r>
      <w:r>
        <w:rPr>
          <w:i/>
          <w:iCs/>
          <w:sz w:val="16"/>
          <w:szCs w:val="16"/>
        </w:rPr>
        <w:t xml:space="preserve">NFM </w:t>
      </w:r>
      <w:r>
        <w:rPr>
          <w:sz w:val="16"/>
          <w:szCs w:val="16"/>
        </w:rPr>
        <w:t xml:space="preserve">2009, (311) 320-321; </w:t>
      </w:r>
      <w:r w:rsidRPr="00064302">
        <w:rPr>
          <w:sz w:val="16"/>
          <w:szCs w:val="16"/>
        </w:rPr>
        <w:t xml:space="preserve">S. BROUWERS, “Voorlopige maatregelen voor wettelijk samenwonenden: de maximumduur van één jaar is 263 ongrondwettelijk (noot onder GwH 6 december, 2018)”, </w:t>
      </w:r>
      <w:r w:rsidRPr="00064302">
        <w:rPr>
          <w:i/>
          <w:iCs/>
          <w:sz w:val="16"/>
          <w:szCs w:val="16"/>
        </w:rPr>
        <w:t>NFM</w:t>
      </w:r>
      <w:r w:rsidRPr="00064302">
        <w:rPr>
          <w:sz w:val="16"/>
          <w:szCs w:val="16"/>
        </w:rPr>
        <w:t xml:space="preserve"> 2019, </w:t>
      </w:r>
      <w:r>
        <w:rPr>
          <w:sz w:val="16"/>
          <w:szCs w:val="16"/>
        </w:rPr>
        <w:t xml:space="preserve">166-167; I. DOM, “Solidariteit tussen feitelijk samenwonende partners?”, </w:t>
      </w:r>
      <w:r>
        <w:rPr>
          <w:i/>
          <w:iCs/>
          <w:sz w:val="16"/>
          <w:szCs w:val="16"/>
        </w:rPr>
        <w:t xml:space="preserve">NFM </w:t>
      </w:r>
      <w:r>
        <w:rPr>
          <w:sz w:val="16"/>
          <w:szCs w:val="16"/>
        </w:rPr>
        <w:t xml:space="preserve">2018, (30) 32; </w:t>
      </w:r>
      <w:r>
        <w:rPr>
          <w:sz w:val="16"/>
          <w:szCs w:val="21"/>
        </w:rPr>
        <w:t>S.</w:t>
      </w:r>
      <w:r w:rsidRPr="000E1B46">
        <w:rPr>
          <w:sz w:val="16"/>
          <w:szCs w:val="21"/>
        </w:rPr>
        <w:t xml:space="preserve"> EGGERMONT</w:t>
      </w:r>
      <w:r>
        <w:rPr>
          <w:sz w:val="16"/>
          <w:szCs w:val="21"/>
        </w:rPr>
        <w:t>,</w:t>
      </w:r>
      <w:r w:rsidRPr="00CC1B81">
        <w:rPr>
          <w:sz w:val="16"/>
          <w:szCs w:val="21"/>
          <w:lang w:val="nl-NL"/>
        </w:rPr>
        <w:t xml:space="preserve"> </w:t>
      </w:r>
      <w:r w:rsidRPr="00CC1B81">
        <w:rPr>
          <w:i/>
          <w:iCs/>
          <w:sz w:val="16"/>
          <w:szCs w:val="21"/>
          <w:lang w:val="nl-NL"/>
        </w:rPr>
        <w:t>Tweerelaties:</w:t>
      </w:r>
      <w:r>
        <w:rPr>
          <w:i/>
          <w:iCs/>
          <w:sz w:val="16"/>
          <w:szCs w:val="21"/>
          <w:lang w:val="nl-NL"/>
        </w:rPr>
        <w:t xml:space="preserve"> </w:t>
      </w:r>
      <w:r w:rsidRPr="00CC1B81">
        <w:rPr>
          <w:i/>
          <w:iCs/>
          <w:sz w:val="16"/>
          <w:szCs w:val="21"/>
          <w:lang w:val="nl-NL"/>
        </w:rPr>
        <w:t>huwelijk, wettelijke samenwoning en feitelijke samenwoning juridisch</w:t>
      </w:r>
      <w:r>
        <w:rPr>
          <w:i/>
          <w:iCs/>
          <w:sz w:val="16"/>
          <w:szCs w:val="21"/>
          <w:lang w:val="nl-NL"/>
        </w:rPr>
        <w:t xml:space="preserve"> </w:t>
      </w:r>
      <w:r w:rsidRPr="00CC1B81">
        <w:rPr>
          <w:i/>
          <w:iCs/>
          <w:sz w:val="16"/>
          <w:szCs w:val="21"/>
          <w:lang w:val="nl-NL"/>
        </w:rPr>
        <w:t>ontleed,</w:t>
      </w:r>
      <w:r>
        <w:rPr>
          <w:i/>
          <w:iCs/>
          <w:sz w:val="16"/>
          <w:szCs w:val="21"/>
          <w:lang w:val="nl-NL"/>
        </w:rPr>
        <w:t xml:space="preserve"> </w:t>
      </w:r>
      <w:r w:rsidRPr="00CC1B81">
        <w:rPr>
          <w:sz w:val="16"/>
          <w:szCs w:val="21"/>
          <w:lang w:val="nl-NL"/>
        </w:rPr>
        <w:t>Antwerpen, Intersentia, 2016,</w:t>
      </w:r>
      <w:r>
        <w:rPr>
          <w:sz w:val="16"/>
          <w:szCs w:val="21"/>
          <w:lang w:val="nl-NL"/>
        </w:rPr>
        <w:t xml:space="preserve"> 162; </w:t>
      </w:r>
      <w:r w:rsidRPr="00664742">
        <w:rPr>
          <w:sz w:val="16"/>
          <w:szCs w:val="16"/>
          <w:lang w:val="fr-BE"/>
        </w:rPr>
        <w:t>Y.</w:t>
      </w:r>
      <w:r>
        <w:rPr>
          <w:sz w:val="16"/>
          <w:szCs w:val="16"/>
          <w:lang w:val="fr-BE"/>
        </w:rPr>
        <w:t xml:space="preserve">-H. </w:t>
      </w:r>
      <w:r w:rsidRPr="00664742">
        <w:rPr>
          <w:sz w:val="16"/>
          <w:szCs w:val="16"/>
          <w:lang w:val="fr-BE"/>
        </w:rPr>
        <w:t xml:space="preserve">LELEU, </w:t>
      </w:r>
      <w:r w:rsidRPr="00664742">
        <w:rPr>
          <w:i/>
          <w:iCs/>
          <w:sz w:val="16"/>
          <w:szCs w:val="16"/>
          <w:lang w:val="fr-BE"/>
        </w:rPr>
        <w:t>Droit des personnes et des familles,</w:t>
      </w:r>
      <w:r w:rsidRPr="00664742">
        <w:rPr>
          <w:sz w:val="16"/>
          <w:szCs w:val="16"/>
          <w:lang w:val="fr-BE"/>
        </w:rPr>
        <w:t xml:space="preserve"> Brussel, Larcier, 2</w:t>
      </w:r>
      <w:r w:rsidRPr="00906969">
        <w:rPr>
          <w:sz w:val="16"/>
          <w:szCs w:val="16"/>
        </w:rPr>
        <w:t xml:space="preserve">020, 409; Y.-H. LELEU, </w:t>
      </w:r>
      <w:r w:rsidRPr="00906969">
        <w:rPr>
          <w:i/>
          <w:iCs/>
          <w:sz w:val="16"/>
          <w:szCs w:val="16"/>
        </w:rPr>
        <w:t>Droit patrimonial des couples,</w:t>
      </w:r>
      <w:r w:rsidRPr="00906969">
        <w:rPr>
          <w:sz w:val="16"/>
          <w:szCs w:val="16"/>
        </w:rPr>
        <w:t xml:space="preserve"> Brussel, Larcier, 2021, 476;</w:t>
      </w:r>
      <w:r>
        <w:rPr>
          <w:sz w:val="16"/>
          <w:szCs w:val="16"/>
        </w:rPr>
        <w:t xml:space="preserve"> G. VERSCHELDEN, </w:t>
      </w:r>
      <w:r>
        <w:rPr>
          <w:i/>
          <w:iCs/>
          <w:sz w:val="16"/>
          <w:szCs w:val="16"/>
        </w:rPr>
        <w:t xml:space="preserve">Handboek Belgisch Personen-, familie- en relatievermogensrecht, </w:t>
      </w:r>
      <w:r>
        <w:rPr>
          <w:sz w:val="16"/>
          <w:szCs w:val="16"/>
        </w:rPr>
        <w:t>Brugge, die Keure, 2023, 1137-1140;</w:t>
      </w:r>
      <w:r w:rsidRPr="00906969">
        <w:rPr>
          <w:sz w:val="16"/>
          <w:szCs w:val="16"/>
        </w:rPr>
        <w:t xml:space="preserve"> B. VINCK,</w:t>
      </w:r>
      <w:r>
        <w:rPr>
          <w:sz w:val="16"/>
          <w:szCs w:val="16"/>
        </w:rPr>
        <w:t xml:space="preserve"> “Overzicht van rechtspraak (2000-2012) – De wettelijke samenwoning”, </w:t>
      </w:r>
      <w:r>
        <w:rPr>
          <w:i/>
          <w:iCs/>
          <w:sz w:val="16"/>
          <w:szCs w:val="16"/>
        </w:rPr>
        <w:t xml:space="preserve">T.Fam. </w:t>
      </w:r>
      <w:r>
        <w:rPr>
          <w:sz w:val="16"/>
          <w:szCs w:val="16"/>
        </w:rPr>
        <w:t>2012, (196) 202.</w:t>
      </w:r>
    </w:p>
  </w:footnote>
  <w:footnote w:id="214">
    <w:p w14:paraId="7EFE47B1" w14:textId="77777777" w:rsidR="00BD18A3" w:rsidRPr="00745884" w:rsidRDefault="00BD18A3" w:rsidP="00BD18A3">
      <w:pPr>
        <w:pStyle w:val="Voetnoottekst"/>
        <w:rPr>
          <w:sz w:val="16"/>
          <w:szCs w:val="16"/>
        </w:rPr>
      </w:pPr>
      <w:r w:rsidRPr="002B4C1B">
        <w:rPr>
          <w:rStyle w:val="Voetnootmarkering"/>
        </w:rPr>
        <w:footnoteRef/>
      </w:r>
      <w:r w:rsidRPr="00745884">
        <w:t xml:space="preserve"> </w:t>
      </w:r>
      <w:r w:rsidRPr="00745884">
        <w:rPr>
          <w:sz w:val="16"/>
          <w:szCs w:val="16"/>
        </w:rPr>
        <w:t xml:space="preserve">Y. LELEU, E. ALOFS, C. HARMEL en M. PETERS, </w:t>
      </w:r>
      <w:r w:rsidRPr="00745884">
        <w:rPr>
          <w:i/>
          <w:iCs/>
          <w:sz w:val="16"/>
          <w:szCs w:val="16"/>
        </w:rPr>
        <w:t>La transmission genrée du capital familial,</w:t>
      </w:r>
      <w:r w:rsidRPr="00745884">
        <w:rPr>
          <w:sz w:val="16"/>
          <w:szCs w:val="16"/>
        </w:rPr>
        <w:t xml:space="preserve"> Brussel, Larcier-Intersentia, 2024, 285.</w:t>
      </w:r>
    </w:p>
  </w:footnote>
  <w:footnote w:id="215">
    <w:p w14:paraId="7C1148CF" w14:textId="77777777" w:rsidR="00BD18A3" w:rsidRPr="006E0458" w:rsidRDefault="00BD18A3" w:rsidP="00BD18A3">
      <w:pPr>
        <w:pStyle w:val="Voetnoottekst"/>
        <w:rPr>
          <w:sz w:val="16"/>
          <w:szCs w:val="16"/>
        </w:rPr>
      </w:pPr>
      <w:r>
        <w:rPr>
          <w:rStyle w:val="Voetnootmarkering"/>
        </w:rPr>
        <w:footnoteRef/>
      </w:r>
      <w:r w:rsidRPr="006E0458">
        <w:t xml:space="preserve"> </w:t>
      </w:r>
      <w:r w:rsidRPr="006E0458">
        <w:rPr>
          <w:sz w:val="16"/>
          <w:szCs w:val="16"/>
        </w:rPr>
        <w:t>Art. 5.76, eerste lid BW.</w:t>
      </w:r>
    </w:p>
  </w:footnote>
  <w:footnote w:id="216">
    <w:p w14:paraId="3E23229D" w14:textId="77777777" w:rsidR="00BD18A3" w:rsidRPr="00235848" w:rsidRDefault="00BD18A3" w:rsidP="00BD18A3">
      <w:pPr>
        <w:pStyle w:val="Voetnoottekst"/>
        <w:rPr>
          <w:sz w:val="16"/>
          <w:szCs w:val="16"/>
          <w:lang w:val="nl-NL"/>
        </w:rPr>
      </w:pPr>
      <w:r>
        <w:rPr>
          <w:rStyle w:val="Voetnootmarkering"/>
        </w:rPr>
        <w:footnoteRef/>
      </w:r>
      <w:r>
        <w:t xml:space="preserve"> </w:t>
      </w:r>
      <w:r>
        <w:rPr>
          <w:sz w:val="16"/>
          <w:szCs w:val="16"/>
          <w:lang w:val="nl-NL"/>
        </w:rPr>
        <w:t>Art. 5.149, tweede lid BW.</w:t>
      </w:r>
    </w:p>
  </w:footnote>
  <w:footnote w:id="217">
    <w:p w14:paraId="64F3ACC9" w14:textId="77777777" w:rsidR="00BD18A3" w:rsidRPr="00090DA4" w:rsidRDefault="00BD18A3" w:rsidP="00BD18A3">
      <w:pPr>
        <w:pStyle w:val="Voetnoottekst"/>
        <w:rPr>
          <w:sz w:val="16"/>
          <w:szCs w:val="16"/>
          <w:lang w:val="nl-NL"/>
        </w:rPr>
      </w:pPr>
      <w:r>
        <w:rPr>
          <w:rStyle w:val="Voetnootmarkering"/>
        </w:rPr>
        <w:footnoteRef/>
      </w:r>
      <w:r>
        <w:t xml:space="preserve"> </w:t>
      </w:r>
      <w:r>
        <w:rPr>
          <w:sz w:val="16"/>
          <w:szCs w:val="16"/>
          <w:lang w:val="nl-NL"/>
        </w:rPr>
        <w:t>Art. 5.244, eerste lid, 2° BW.</w:t>
      </w:r>
    </w:p>
  </w:footnote>
  <w:footnote w:id="218">
    <w:p w14:paraId="73388D5B" w14:textId="77777777" w:rsidR="00BD18A3" w:rsidRPr="000750F3" w:rsidRDefault="00BD18A3" w:rsidP="00BD18A3">
      <w:pPr>
        <w:pStyle w:val="Voetnoottekst"/>
        <w:rPr>
          <w:sz w:val="16"/>
          <w:szCs w:val="16"/>
          <w:lang w:val="nl-NL"/>
        </w:rPr>
      </w:pPr>
      <w:r>
        <w:rPr>
          <w:rStyle w:val="Voetnootmarkering"/>
        </w:rPr>
        <w:footnoteRef/>
      </w:r>
      <w:r>
        <w:t xml:space="preserve"> </w:t>
      </w:r>
      <w:r>
        <w:rPr>
          <w:sz w:val="16"/>
          <w:szCs w:val="16"/>
          <w:lang w:val="nl-NL"/>
        </w:rPr>
        <w:t>Art. 1478, vierde lid oud BW; art. 2.3.8, § 1 BW.</w:t>
      </w:r>
    </w:p>
  </w:footnote>
  <w:footnote w:id="219">
    <w:p w14:paraId="5B93E34E" w14:textId="77777777" w:rsidR="00BD18A3" w:rsidRPr="00426981" w:rsidRDefault="00BD18A3" w:rsidP="00BD18A3">
      <w:pPr>
        <w:pStyle w:val="Voetnoottekst"/>
        <w:rPr>
          <w:sz w:val="16"/>
          <w:szCs w:val="16"/>
          <w:lang w:val="nl-NL"/>
        </w:rPr>
      </w:pPr>
      <w:r>
        <w:rPr>
          <w:rStyle w:val="Voetnootmarkering"/>
        </w:rPr>
        <w:footnoteRef/>
      </w:r>
      <w:r>
        <w:t xml:space="preserve"> </w:t>
      </w:r>
      <w:r>
        <w:rPr>
          <w:sz w:val="16"/>
          <w:szCs w:val="16"/>
          <w:lang w:val="nl-NL"/>
        </w:rPr>
        <w:t>Art. 5.149, tweede lid BW; art. 5.244, eerste lid, 2° BW.</w:t>
      </w:r>
    </w:p>
  </w:footnote>
  <w:footnote w:id="220">
    <w:p w14:paraId="5383FBEE" w14:textId="77777777" w:rsidR="00BD18A3" w:rsidRPr="003216DB" w:rsidRDefault="00BD18A3" w:rsidP="00BD18A3">
      <w:pPr>
        <w:pStyle w:val="Voetnoottekst"/>
        <w:rPr>
          <w:lang w:val="nl-NL"/>
        </w:rPr>
      </w:pPr>
      <w:r>
        <w:rPr>
          <w:rStyle w:val="Voetnootmarkering"/>
        </w:rPr>
        <w:footnoteRef/>
      </w:r>
      <w:r>
        <w:t xml:space="preserve"> </w:t>
      </w:r>
      <w:r>
        <w:rPr>
          <w:sz w:val="16"/>
          <w:szCs w:val="16"/>
          <w:lang w:val="nl-NL"/>
        </w:rPr>
        <w:t>Art. 1478, vierde lid oud BW; art. 2.3.8, § 1 BW.</w:t>
      </w:r>
    </w:p>
  </w:footnote>
  <w:footnote w:id="221">
    <w:p w14:paraId="0964B613" w14:textId="77777777" w:rsidR="00BD18A3" w:rsidRPr="00C96180" w:rsidRDefault="00BD18A3" w:rsidP="00BD18A3">
      <w:pPr>
        <w:pStyle w:val="Voetnoottekst"/>
      </w:pPr>
      <w:r>
        <w:rPr>
          <w:rStyle w:val="Voetnootmarkering"/>
        </w:rPr>
        <w:footnoteRef/>
      </w:r>
      <w:r>
        <w:t xml:space="preserve"> </w:t>
      </w:r>
      <w:r>
        <w:rPr>
          <w:sz w:val="16"/>
          <w:szCs w:val="16"/>
        </w:rPr>
        <w:t>A</w:t>
      </w:r>
      <w:r w:rsidRPr="007762B6">
        <w:rPr>
          <w:sz w:val="16"/>
          <w:szCs w:val="16"/>
        </w:rPr>
        <w:t>rt. 1478 §</w:t>
      </w:r>
      <w:r>
        <w:rPr>
          <w:sz w:val="16"/>
          <w:szCs w:val="16"/>
        </w:rPr>
        <w:t xml:space="preserve"> </w:t>
      </w:r>
      <w:r w:rsidRPr="007762B6">
        <w:rPr>
          <w:sz w:val="16"/>
          <w:szCs w:val="16"/>
        </w:rPr>
        <w:t xml:space="preserve">1, vierde lid oud </w:t>
      </w:r>
      <w:r>
        <w:rPr>
          <w:sz w:val="16"/>
          <w:szCs w:val="16"/>
        </w:rPr>
        <w:t>BW; a</w:t>
      </w:r>
      <w:r w:rsidRPr="00F90AC9">
        <w:rPr>
          <w:sz w:val="16"/>
          <w:szCs w:val="16"/>
        </w:rPr>
        <w:t xml:space="preserve">rt. 2.3.6. </w:t>
      </w:r>
      <w:r w:rsidRPr="00C96180">
        <w:rPr>
          <w:sz w:val="16"/>
          <w:szCs w:val="16"/>
        </w:rPr>
        <w:t>BW.</w:t>
      </w:r>
    </w:p>
  </w:footnote>
  <w:footnote w:id="222">
    <w:p w14:paraId="77A9BDDB" w14:textId="77777777" w:rsidR="00BD18A3" w:rsidRPr="00747F8A" w:rsidRDefault="00BD18A3" w:rsidP="00BD18A3">
      <w:pPr>
        <w:pStyle w:val="Voetnoottekst"/>
      </w:pPr>
      <w:r>
        <w:rPr>
          <w:rStyle w:val="Voetnootmarkering"/>
        </w:rPr>
        <w:footnoteRef/>
      </w:r>
      <w:r w:rsidRPr="00747F8A">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223">
    <w:p w14:paraId="45E57B49" w14:textId="77777777" w:rsidR="00BD18A3" w:rsidRPr="00C96180" w:rsidRDefault="00BD18A3" w:rsidP="00BD18A3">
      <w:pPr>
        <w:pStyle w:val="Voetnoottekst"/>
        <w:rPr>
          <w:sz w:val="16"/>
          <w:szCs w:val="16"/>
        </w:rPr>
      </w:pPr>
      <w:r>
        <w:rPr>
          <w:rStyle w:val="Voetnootmarkering"/>
        </w:rPr>
        <w:footnoteRef/>
      </w:r>
      <w:r w:rsidRPr="00C96180">
        <w:t xml:space="preserve"> </w:t>
      </w:r>
      <w:r w:rsidRPr="00C96180">
        <w:rPr>
          <w:sz w:val="16"/>
          <w:szCs w:val="16"/>
        </w:rPr>
        <w:t>Art. 5.77-5.78 BW.</w:t>
      </w:r>
    </w:p>
  </w:footnote>
  <w:footnote w:id="224">
    <w:p w14:paraId="0FB77BC2" w14:textId="77777777" w:rsidR="00BD18A3" w:rsidRPr="00AF61A8" w:rsidRDefault="00BD18A3" w:rsidP="00BD18A3">
      <w:pPr>
        <w:pStyle w:val="Voetnoottekst"/>
        <w:rPr>
          <w:lang w:val="nl-NL"/>
        </w:rPr>
      </w:pPr>
      <w:r>
        <w:rPr>
          <w:rStyle w:val="Voetnootmarkering"/>
        </w:rPr>
        <w:footnoteRef/>
      </w:r>
      <w:r>
        <w:t xml:space="preserve"> </w:t>
      </w:r>
      <w:r>
        <w:rPr>
          <w:sz w:val="16"/>
          <w:szCs w:val="16"/>
          <w:lang w:val="nl-NL"/>
        </w:rPr>
        <w:t>Art. 5.77, tweede lid BW.</w:t>
      </w:r>
    </w:p>
  </w:footnote>
  <w:footnote w:id="225">
    <w:p w14:paraId="0D138BF5" w14:textId="77777777" w:rsidR="00BD18A3" w:rsidRPr="00AF61A8" w:rsidRDefault="00BD18A3" w:rsidP="00BD18A3">
      <w:pPr>
        <w:pStyle w:val="Voetnoottekst"/>
        <w:rPr>
          <w:sz w:val="16"/>
          <w:szCs w:val="16"/>
          <w:lang w:val="nl-NL"/>
        </w:rPr>
      </w:pPr>
      <w:r>
        <w:rPr>
          <w:rStyle w:val="Voetnootmarkering"/>
        </w:rPr>
        <w:footnoteRef/>
      </w:r>
      <w:r>
        <w:t xml:space="preserve"> </w:t>
      </w:r>
      <w:r>
        <w:rPr>
          <w:sz w:val="16"/>
          <w:szCs w:val="16"/>
          <w:lang w:val="nl-NL"/>
        </w:rPr>
        <w:t>Art. 5.78, derde lid BW.</w:t>
      </w:r>
    </w:p>
  </w:footnote>
  <w:footnote w:id="226">
    <w:p w14:paraId="41ECFE9C" w14:textId="77777777" w:rsidR="00BD18A3" w:rsidRPr="00A239FD" w:rsidRDefault="00BD18A3" w:rsidP="00BD18A3">
      <w:pPr>
        <w:pStyle w:val="Voetnoottekst"/>
      </w:pPr>
      <w:r>
        <w:rPr>
          <w:rStyle w:val="Voetnootmarkering"/>
        </w:rPr>
        <w:footnoteRef/>
      </w:r>
      <w:r>
        <w:t xml:space="preserve"> </w:t>
      </w:r>
      <w:r>
        <w:rPr>
          <w:sz w:val="16"/>
          <w:szCs w:val="16"/>
          <w:lang w:val="nl-NL"/>
        </w:rPr>
        <w:t>Art. 5.77, tweede lid BW; art. 5.78, derde lid BW.</w:t>
      </w:r>
    </w:p>
  </w:footnote>
  <w:footnote w:id="227">
    <w:p w14:paraId="3BF080E3" w14:textId="77777777" w:rsidR="00BD18A3" w:rsidRPr="00282B97" w:rsidRDefault="00BD18A3" w:rsidP="00BD18A3">
      <w:pPr>
        <w:pStyle w:val="Voetnoottekst"/>
        <w:rPr>
          <w:sz w:val="16"/>
          <w:szCs w:val="16"/>
          <w:lang w:val="nl-NL"/>
        </w:rPr>
      </w:pPr>
      <w:r>
        <w:rPr>
          <w:rStyle w:val="Voetnootmarkering"/>
        </w:rPr>
        <w:footnoteRef/>
      </w:r>
      <w:r>
        <w:t xml:space="preserve"> </w:t>
      </w:r>
      <w:r>
        <w:rPr>
          <w:sz w:val="16"/>
          <w:szCs w:val="16"/>
          <w:lang w:val="nl-NL"/>
        </w:rPr>
        <w:t>Art. 5.77, eerste lid BW.</w:t>
      </w:r>
    </w:p>
  </w:footnote>
  <w:footnote w:id="228">
    <w:p w14:paraId="148D529E" w14:textId="77777777" w:rsidR="00BD18A3" w:rsidRPr="00282B97" w:rsidRDefault="00BD18A3" w:rsidP="00BD18A3">
      <w:pPr>
        <w:pStyle w:val="Voetnoottekst"/>
        <w:rPr>
          <w:lang w:val="nl-NL"/>
        </w:rPr>
      </w:pPr>
      <w:r>
        <w:rPr>
          <w:rStyle w:val="Voetnootmarkering"/>
        </w:rPr>
        <w:footnoteRef/>
      </w:r>
      <w:r>
        <w:t xml:space="preserve"> </w:t>
      </w:r>
      <w:r>
        <w:rPr>
          <w:sz w:val="16"/>
          <w:szCs w:val="16"/>
          <w:lang w:val="nl-NL"/>
        </w:rPr>
        <w:t>Art. 5.77, tweede lid BW.</w:t>
      </w:r>
    </w:p>
  </w:footnote>
  <w:footnote w:id="229">
    <w:p w14:paraId="0CA73C30" w14:textId="77777777" w:rsidR="00BD18A3" w:rsidRPr="00F34D20" w:rsidRDefault="00BD18A3" w:rsidP="00BD18A3">
      <w:pPr>
        <w:pStyle w:val="Voetnoottekst"/>
        <w:rPr>
          <w:sz w:val="16"/>
        </w:rPr>
      </w:pPr>
      <w:r>
        <w:rPr>
          <w:rStyle w:val="Voetnootmarkering"/>
        </w:rPr>
        <w:footnoteRef/>
      </w:r>
      <w:r>
        <w:t xml:space="preserve"> </w:t>
      </w:r>
      <w:r>
        <w:rPr>
          <w:sz w:val="16"/>
          <w:szCs w:val="16"/>
        </w:rPr>
        <w:t>A</w:t>
      </w:r>
      <w:r w:rsidRPr="000131A9">
        <w:rPr>
          <w:sz w:val="16"/>
          <w:szCs w:val="16"/>
        </w:rPr>
        <w:t>rt. 1478, vierde lid ou</w:t>
      </w:r>
      <w:r>
        <w:rPr>
          <w:sz w:val="16"/>
          <w:szCs w:val="16"/>
        </w:rPr>
        <w:t xml:space="preserve">d BW; </w:t>
      </w:r>
      <w:r>
        <w:rPr>
          <w:sz w:val="16"/>
        </w:rPr>
        <w:t>art. 2.3.6 BW.</w:t>
      </w:r>
    </w:p>
  </w:footnote>
  <w:footnote w:id="230">
    <w:p w14:paraId="06BCA72D" w14:textId="77777777" w:rsidR="00BD18A3" w:rsidRPr="00C67734" w:rsidRDefault="00BD18A3" w:rsidP="00BD18A3">
      <w:pPr>
        <w:pStyle w:val="Voetnoottekst"/>
      </w:pPr>
      <w:r>
        <w:rPr>
          <w:rStyle w:val="Voetnootmarkering"/>
        </w:rPr>
        <w:footnoteRef/>
      </w:r>
      <w:r>
        <w:t xml:space="preserve"> </w:t>
      </w:r>
      <w:r w:rsidRPr="00747F8A">
        <w:rPr>
          <w:sz w:val="16"/>
          <w:szCs w:val="16"/>
        </w:rPr>
        <w:t xml:space="preserve">Art. 1 wet van 25 ventôse jaar XI op het notarisambt, </w:t>
      </w:r>
      <w:r w:rsidRPr="00747F8A">
        <w:rPr>
          <w:i/>
          <w:iCs/>
          <w:sz w:val="16"/>
          <w:szCs w:val="16"/>
        </w:rPr>
        <w:t xml:space="preserve">BS </w:t>
      </w:r>
      <w:r w:rsidRPr="00747F8A">
        <w:rPr>
          <w:sz w:val="16"/>
          <w:szCs w:val="16"/>
        </w:rPr>
        <w:t>16 maart 1803.</w:t>
      </w:r>
    </w:p>
  </w:footnote>
  <w:footnote w:id="231">
    <w:p w14:paraId="0E66237F" w14:textId="77777777" w:rsidR="00BD18A3" w:rsidRPr="00513675" w:rsidRDefault="00BD18A3" w:rsidP="00BD18A3">
      <w:pPr>
        <w:pStyle w:val="Voetnoottekst"/>
        <w:rPr>
          <w:sz w:val="16"/>
          <w:szCs w:val="16"/>
          <w:lang w:val="nl-NL"/>
        </w:rPr>
      </w:pPr>
      <w:r>
        <w:rPr>
          <w:rStyle w:val="Voetnootmarkering"/>
        </w:rPr>
        <w:footnoteRef/>
      </w:r>
      <w:r>
        <w:t xml:space="preserve"> </w:t>
      </w:r>
      <w:r>
        <w:rPr>
          <w:sz w:val="16"/>
          <w:szCs w:val="16"/>
          <w:lang w:val="nl-NL"/>
        </w:rPr>
        <w:t>Art. 5.78, eerste lid BW.</w:t>
      </w:r>
    </w:p>
  </w:footnote>
  <w:footnote w:id="232">
    <w:p w14:paraId="7F6C70D0" w14:textId="77777777" w:rsidR="00BD18A3" w:rsidRPr="00B355A9" w:rsidRDefault="00BD18A3" w:rsidP="00BD18A3">
      <w:pPr>
        <w:pStyle w:val="Voetnoottekst"/>
        <w:rPr>
          <w:sz w:val="16"/>
          <w:szCs w:val="16"/>
          <w:lang w:val="nl-NL"/>
        </w:rPr>
      </w:pPr>
      <w:r>
        <w:rPr>
          <w:rStyle w:val="Voetnootmarkering"/>
        </w:rPr>
        <w:footnoteRef/>
      </w:r>
      <w:r>
        <w:t xml:space="preserve"> </w:t>
      </w:r>
      <w:r>
        <w:rPr>
          <w:sz w:val="16"/>
          <w:szCs w:val="16"/>
          <w:lang w:val="nl-NL"/>
        </w:rPr>
        <w:t>Art. 5.78, derde lid BW.</w:t>
      </w:r>
    </w:p>
  </w:footnote>
  <w:footnote w:id="233">
    <w:p w14:paraId="7E30C5CF" w14:textId="77777777" w:rsidR="00BD18A3" w:rsidRPr="00513675" w:rsidRDefault="00BD18A3" w:rsidP="00BD18A3">
      <w:pPr>
        <w:pStyle w:val="Voetnoottekst"/>
        <w:rPr>
          <w:sz w:val="16"/>
          <w:szCs w:val="16"/>
          <w:lang w:val="nl-NL"/>
        </w:rPr>
      </w:pPr>
      <w:r>
        <w:rPr>
          <w:rStyle w:val="Voetnootmarkering"/>
        </w:rPr>
        <w:footnoteRef/>
      </w:r>
      <w:r>
        <w:t xml:space="preserve"> </w:t>
      </w:r>
      <w:r>
        <w:rPr>
          <w:sz w:val="16"/>
          <w:szCs w:val="16"/>
          <w:lang w:val="nl-NL"/>
        </w:rPr>
        <w:t>Art. 5.78, eerste lid BW.</w:t>
      </w:r>
    </w:p>
  </w:footnote>
  <w:footnote w:id="234">
    <w:p w14:paraId="302185EB" w14:textId="77777777" w:rsidR="00BD18A3" w:rsidRPr="00F34D20" w:rsidRDefault="00BD18A3" w:rsidP="00BD18A3">
      <w:pPr>
        <w:pStyle w:val="Voetnoottekst"/>
        <w:rPr>
          <w:sz w:val="16"/>
        </w:rPr>
      </w:pPr>
      <w:r>
        <w:rPr>
          <w:rStyle w:val="Voetnootmarkering"/>
        </w:rPr>
        <w:footnoteRef/>
      </w:r>
      <w:r>
        <w:t xml:space="preserve"> </w:t>
      </w:r>
      <w:r>
        <w:rPr>
          <w:sz w:val="16"/>
          <w:szCs w:val="16"/>
        </w:rPr>
        <w:t>A</w:t>
      </w:r>
      <w:r w:rsidRPr="000131A9">
        <w:rPr>
          <w:sz w:val="16"/>
          <w:szCs w:val="16"/>
        </w:rPr>
        <w:t>rt. 1478, vierde lid ou</w:t>
      </w:r>
      <w:r>
        <w:rPr>
          <w:sz w:val="16"/>
          <w:szCs w:val="16"/>
        </w:rPr>
        <w:t xml:space="preserve">d BW; </w:t>
      </w:r>
      <w:r>
        <w:rPr>
          <w:sz w:val="16"/>
        </w:rPr>
        <w:t>art. 2.3.6 BW.</w:t>
      </w:r>
    </w:p>
  </w:footnote>
  <w:footnote w:id="235">
    <w:p w14:paraId="111B5B9F" w14:textId="77777777" w:rsidR="00BD18A3" w:rsidRPr="00DE1974" w:rsidRDefault="00BD18A3" w:rsidP="00BD18A3">
      <w:pPr>
        <w:pStyle w:val="Voetnoottekst"/>
        <w:rPr>
          <w:lang w:val="nl-NL"/>
        </w:rPr>
      </w:pPr>
      <w:r>
        <w:rPr>
          <w:rStyle w:val="Voetnootmarkering"/>
        </w:rPr>
        <w:footnoteRef/>
      </w:r>
      <w:r>
        <w:t xml:space="preserve"> </w:t>
      </w:r>
      <w:r>
        <w:rPr>
          <w:sz w:val="16"/>
          <w:szCs w:val="16"/>
          <w:lang w:val="nl-NL"/>
        </w:rPr>
        <w:t>Art. 5.78, tweede lid BW.</w:t>
      </w:r>
    </w:p>
  </w:footnote>
  <w:footnote w:id="236">
    <w:p w14:paraId="61968EAB" w14:textId="77777777" w:rsidR="00BD18A3" w:rsidRPr="00766A27" w:rsidRDefault="00BD18A3" w:rsidP="00BD18A3">
      <w:pPr>
        <w:pStyle w:val="Voetnoottekst"/>
        <w:rPr>
          <w:sz w:val="16"/>
          <w:szCs w:val="16"/>
        </w:rPr>
      </w:pPr>
      <w:r>
        <w:rPr>
          <w:rStyle w:val="Voetnootmarkering"/>
        </w:rPr>
        <w:footnoteRef/>
      </w:r>
      <w:r w:rsidRPr="00766A27">
        <w:t xml:space="preserve"> </w:t>
      </w:r>
      <w:r w:rsidRPr="00766A27">
        <w:rPr>
          <w:sz w:val="16"/>
          <w:szCs w:val="16"/>
        </w:rPr>
        <w:t>Art. 2.3.6 BW.</w:t>
      </w:r>
    </w:p>
  </w:footnote>
  <w:footnote w:id="237">
    <w:p w14:paraId="67EC20E4" w14:textId="77777777" w:rsidR="00BD18A3" w:rsidRPr="00077182" w:rsidRDefault="00BD18A3" w:rsidP="00BD18A3">
      <w:pPr>
        <w:pStyle w:val="Voetnoottekst"/>
        <w:rPr>
          <w:sz w:val="16"/>
          <w:szCs w:val="16"/>
        </w:rPr>
      </w:pPr>
      <w:r>
        <w:rPr>
          <w:rStyle w:val="Voetnootmarkering"/>
        </w:rPr>
        <w:footnoteRef/>
      </w:r>
      <w:r>
        <w:t xml:space="preserve"> </w:t>
      </w:r>
      <w:r>
        <w:rPr>
          <w:sz w:val="16"/>
          <w:szCs w:val="16"/>
        </w:rPr>
        <w:t>Art. 5.244, eerste lid, 2° BW.</w:t>
      </w:r>
    </w:p>
  </w:footnote>
  <w:footnote w:id="238">
    <w:p w14:paraId="68B6C4CF" w14:textId="77777777" w:rsidR="00BD18A3" w:rsidRPr="00766A27" w:rsidRDefault="00BD18A3" w:rsidP="00BD18A3">
      <w:pPr>
        <w:pStyle w:val="Voetnoottekst"/>
        <w:rPr>
          <w:sz w:val="16"/>
          <w:szCs w:val="16"/>
        </w:rPr>
      </w:pPr>
      <w:r>
        <w:rPr>
          <w:rStyle w:val="Voetnootmarkering"/>
        </w:rPr>
        <w:footnoteRef/>
      </w:r>
      <w:r w:rsidRPr="00766A27">
        <w:t xml:space="preserve"> </w:t>
      </w:r>
      <w:r w:rsidRPr="00766A27">
        <w:rPr>
          <w:sz w:val="16"/>
          <w:szCs w:val="16"/>
        </w:rPr>
        <w:t>Art. 2.3.8, §</w:t>
      </w:r>
      <w:r>
        <w:rPr>
          <w:sz w:val="16"/>
          <w:szCs w:val="16"/>
        </w:rPr>
        <w:t xml:space="preserve"> </w:t>
      </w:r>
      <w:r w:rsidRPr="00766A27">
        <w:rPr>
          <w:sz w:val="16"/>
          <w:szCs w:val="16"/>
        </w:rPr>
        <w:t>2 BW.</w:t>
      </w:r>
    </w:p>
  </w:footnote>
  <w:footnote w:id="239">
    <w:p w14:paraId="46A92E50" w14:textId="77777777" w:rsidR="00BD18A3" w:rsidRPr="00766A27" w:rsidRDefault="00BD18A3" w:rsidP="00BD18A3">
      <w:pPr>
        <w:pStyle w:val="Voetnoottekst"/>
        <w:rPr>
          <w:sz w:val="16"/>
          <w:szCs w:val="16"/>
        </w:rPr>
      </w:pPr>
      <w:r>
        <w:rPr>
          <w:rStyle w:val="Voetnootmarkering"/>
        </w:rPr>
        <w:footnoteRef/>
      </w:r>
      <w:r w:rsidRPr="00766A27">
        <w:t xml:space="preserve"> </w:t>
      </w:r>
      <w:r w:rsidRPr="00766A27">
        <w:rPr>
          <w:sz w:val="16"/>
          <w:szCs w:val="16"/>
        </w:rPr>
        <w:t>Art. 2.3.8, §</w:t>
      </w:r>
      <w:r>
        <w:rPr>
          <w:sz w:val="16"/>
          <w:szCs w:val="16"/>
        </w:rPr>
        <w:t xml:space="preserve"> </w:t>
      </w:r>
      <w:r w:rsidRPr="00766A27">
        <w:rPr>
          <w:sz w:val="16"/>
          <w:szCs w:val="16"/>
        </w:rPr>
        <w:t>3 BW.</w:t>
      </w:r>
    </w:p>
  </w:footnote>
  <w:footnote w:id="240">
    <w:p w14:paraId="6362893A" w14:textId="77777777" w:rsidR="00BD18A3" w:rsidRPr="00363702" w:rsidRDefault="00BD18A3" w:rsidP="00BD18A3">
      <w:pPr>
        <w:pStyle w:val="Voetnoottekst"/>
        <w:rPr>
          <w:sz w:val="16"/>
          <w:szCs w:val="16"/>
          <w:lang w:val="nl-NL"/>
        </w:rPr>
      </w:pPr>
      <w:r>
        <w:rPr>
          <w:rStyle w:val="Voetnootmarkering"/>
        </w:rPr>
        <w:footnoteRef/>
      </w:r>
      <w:r>
        <w:t xml:space="preserve"> </w:t>
      </w:r>
      <w:r>
        <w:rPr>
          <w:sz w:val="16"/>
          <w:szCs w:val="16"/>
          <w:lang w:val="nl-NL"/>
        </w:rPr>
        <w:t xml:space="preserve">I. CLAEYS, </w:t>
      </w:r>
      <w:r>
        <w:rPr>
          <w:i/>
          <w:iCs/>
          <w:sz w:val="16"/>
          <w:szCs w:val="16"/>
          <w:lang w:val="nl-NL"/>
        </w:rPr>
        <w:t xml:space="preserve">Verbintenissenrecht, s.l., </w:t>
      </w:r>
      <w:r>
        <w:rPr>
          <w:sz w:val="16"/>
          <w:szCs w:val="16"/>
          <w:lang w:val="nl-NL"/>
        </w:rPr>
        <w:t xml:space="preserve">2017, 49; S. STIJNS, </w:t>
      </w:r>
      <w:r>
        <w:rPr>
          <w:i/>
          <w:iCs/>
          <w:sz w:val="16"/>
          <w:szCs w:val="16"/>
          <w:lang w:val="nl-NL"/>
        </w:rPr>
        <w:t>Leerboek verbintenissenrecht</w:t>
      </w:r>
      <w:r>
        <w:rPr>
          <w:sz w:val="16"/>
          <w:szCs w:val="16"/>
          <w:lang w:val="nl-NL"/>
        </w:rPr>
        <w:t xml:space="preserve"> - </w:t>
      </w:r>
      <w:r>
        <w:rPr>
          <w:i/>
          <w:iCs/>
          <w:sz w:val="16"/>
          <w:szCs w:val="16"/>
          <w:lang w:val="nl-NL"/>
        </w:rPr>
        <w:t xml:space="preserve">Boek 1, </w:t>
      </w:r>
      <w:r w:rsidRPr="00B87429">
        <w:rPr>
          <w:sz w:val="16"/>
          <w:szCs w:val="16"/>
          <w:lang w:val="nl-NL"/>
        </w:rPr>
        <w:t xml:space="preserve">Brugge, die Keure, 2022, </w:t>
      </w:r>
      <w:r>
        <w:rPr>
          <w:sz w:val="16"/>
          <w:szCs w:val="16"/>
          <w:lang w:val="nl-NL"/>
        </w:rPr>
        <w:t>37-38.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492F00"/>
    <w:multiLevelType w:val="hybridMultilevel"/>
    <w:tmpl w:val="BE2A0CB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412568F"/>
    <w:multiLevelType w:val="hybridMultilevel"/>
    <w:tmpl w:val="5DB435E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088D32AF"/>
    <w:multiLevelType w:val="hybridMultilevel"/>
    <w:tmpl w:val="B78E70E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 w15:restartNumberingAfterBreak="0">
    <w:nsid w:val="0F2B1E45"/>
    <w:multiLevelType w:val="hybridMultilevel"/>
    <w:tmpl w:val="2760EA7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66C6EB9"/>
    <w:multiLevelType w:val="hybridMultilevel"/>
    <w:tmpl w:val="2B305438"/>
    <w:lvl w:ilvl="0" w:tplc="D1E6E6D6">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9532FCF"/>
    <w:multiLevelType w:val="hybridMultilevel"/>
    <w:tmpl w:val="3E325EF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6" w15:restartNumberingAfterBreak="0">
    <w:nsid w:val="1ACD6DC5"/>
    <w:multiLevelType w:val="hybridMultilevel"/>
    <w:tmpl w:val="52527A3A"/>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7" w15:restartNumberingAfterBreak="0">
    <w:nsid w:val="1CAA60FD"/>
    <w:multiLevelType w:val="hybridMultilevel"/>
    <w:tmpl w:val="76D42116"/>
    <w:lvl w:ilvl="0" w:tplc="0813000F">
      <w:start w:val="1"/>
      <w:numFmt w:val="decimal"/>
      <w:lvlText w:val="%1."/>
      <w:lvlJc w:val="left"/>
      <w:pPr>
        <w:ind w:left="360" w:hanging="360"/>
      </w:pPr>
      <w:rPr>
        <w:rFonts w:hint="default"/>
      </w:rPr>
    </w:lvl>
    <w:lvl w:ilvl="1" w:tplc="08130019" w:tentative="1">
      <w:start w:val="1"/>
      <w:numFmt w:val="lowerLetter"/>
      <w:lvlText w:val="%2."/>
      <w:lvlJc w:val="left"/>
      <w:pPr>
        <w:ind w:left="1080" w:hanging="360"/>
      </w:pPr>
    </w:lvl>
    <w:lvl w:ilvl="2" w:tplc="0813001B" w:tentative="1">
      <w:start w:val="1"/>
      <w:numFmt w:val="lowerRoman"/>
      <w:lvlText w:val="%3."/>
      <w:lvlJc w:val="right"/>
      <w:pPr>
        <w:ind w:left="1800" w:hanging="180"/>
      </w:pPr>
    </w:lvl>
    <w:lvl w:ilvl="3" w:tplc="0813000F" w:tentative="1">
      <w:start w:val="1"/>
      <w:numFmt w:val="decimal"/>
      <w:lvlText w:val="%4."/>
      <w:lvlJc w:val="left"/>
      <w:pPr>
        <w:ind w:left="2520" w:hanging="360"/>
      </w:pPr>
    </w:lvl>
    <w:lvl w:ilvl="4" w:tplc="08130019" w:tentative="1">
      <w:start w:val="1"/>
      <w:numFmt w:val="lowerLetter"/>
      <w:lvlText w:val="%5."/>
      <w:lvlJc w:val="left"/>
      <w:pPr>
        <w:ind w:left="3240" w:hanging="360"/>
      </w:pPr>
    </w:lvl>
    <w:lvl w:ilvl="5" w:tplc="0813001B" w:tentative="1">
      <w:start w:val="1"/>
      <w:numFmt w:val="lowerRoman"/>
      <w:lvlText w:val="%6."/>
      <w:lvlJc w:val="right"/>
      <w:pPr>
        <w:ind w:left="3960" w:hanging="180"/>
      </w:pPr>
    </w:lvl>
    <w:lvl w:ilvl="6" w:tplc="0813000F" w:tentative="1">
      <w:start w:val="1"/>
      <w:numFmt w:val="decimal"/>
      <w:lvlText w:val="%7."/>
      <w:lvlJc w:val="left"/>
      <w:pPr>
        <w:ind w:left="4680" w:hanging="360"/>
      </w:pPr>
    </w:lvl>
    <w:lvl w:ilvl="7" w:tplc="08130019" w:tentative="1">
      <w:start w:val="1"/>
      <w:numFmt w:val="lowerLetter"/>
      <w:lvlText w:val="%8."/>
      <w:lvlJc w:val="left"/>
      <w:pPr>
        <w:ind w:left="5400" w:hanging="360"/>
      </w:pPr>
    </w:lvl>
    <w:lvl w:ilvl="8" w:tplc="0813001B" w:tentative="1">
      <w:start w:val="1"/>
      <w:numFmt w:val="lowerRoman"/>
      <w:lvlText w:val="%9."/>
      <w:lvlJc w:val="right"/>
      <w:pPr>
        <w:ind w:left="6120" w:hanging="180"/>
      </w:pPr>
    </w:lvl>
  </w:abstractNum>
  <w:abstractNum w:abstractNumId="8" w15:restartNumberingAfterBreak="0">
    <w:nsid w:val="24A22369"/>
    <w:multiLevelType w:val="hybridMultilevel"/>
    <w:tmpl w:val="00E0CD18"/>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25736A80"/>
    <w:multiLevelType w:val="hybridMultilevel"/>
    <w:tmpl w:val="CD54ADD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E896EBA"/>
    <w:multiLevelType w:val="hybridMultilevel"/>
    <w:tmpl w:val="87183A6C"/>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2EC325A"/>
    <w:multiLevelType w:val="hybridMultilevel"/>
    <w:tmpl w:val="DBFCFAD8"/>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3AA20A5A"/>
    <w:multiLevelType w:val="hybridMultilevel"/>
    <w:tmpl w:val="C0E46A5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E37022E"/>
    <w:multiLevelType w:val="hybridMultilevel"/>
    <w:tmpl w:val="A45E345E"/>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403F6578"/>
    <w:multiLevelType w:val="hybridMultilevel"/>
    <w:tmpl w:val="2ED4D9A6"/>
    <w:lvl w:ilvl="0" w:tplc="CDC47A50">
      <w:start w:val="1"/>
      <w:numFmt w:val="decimal"/>
      <w:lvlText w:val="%1."/>
      <w:lvlJc w:val="left"/>
      <w:pPr>
        <w:ind w:left="360" w:hanging="360"/>
      </w:pPr>
      <w:rPr>
        <w:rFonts w:hint="default"/>
        <w:b/>
        <w:bCs/>
        <w:i w:val="0"/>
        <w:iCs w:val="0"/>
      </w:rPr>
    </w:lvl>
    <w:lvl w:ilvl="1" w:tplc="04130019" w:tentative="1">
      <w:start w:val="1"/>
      <w:numFmt w:val="lowerLetter"/>
      <w:lvlText w:val="%2."/>
      <w:lvlJc w:val="left"/>
      <w:pPr>
        <w:ind w:left="-338" w:hanging="360"/>
      </w:pPr>
    </w:lvl>
    <w:lvl w:ilvl="2" w:tplc="0413001B" w:tentative="1">
      <w:start w:val="1"/>
      <w:numFmt w:val="lowerRoman"/>
      <w:lvlText w:val="%3."/>
      <w:lvlJc w:val="right"/>
      <w:pPr>
        <w:ind w:left="382" w:hanging="180"/>
      </w:pPr>
    </w:lvl>
    <w:lvl w:ilvl="3" w:tplc="0413000F" w:tentative="1">
      <w:start w:val="1"/>
      <w:numFmt w:val="decimal"/>
      <w:lvlText w:val="%4."/>
      <w:lvlJc w:val="left"/>
      <w:pPr>
        <w:ind w:left="1102" w:hanging="360"/>
      </w:pPr>
    </w:lvl>
    <w:lvl w:ilvl="4" w:tplc="04130019" w:tentative="1">
      <w:start w:val="1"/>
      <w:numFmt w:val="lowerLetter"/>
      <w:lvlText w:val="%5."/>
      <w:lvlJc w:val="left"/>
      <w:pPr>
        <w:ind w:left="1822" w:hanging="360"/>
      </w:pPr>
    </w:lvl>
    <w:lvl w:ilvl="5" w:tplc="0413001B" w:tentative="1">
      <w:start w:val="1"/>
      <w:numFmt w:val="lowerRoman"/>
      <w:lvlText w:val="%6."/>
      <w:lvlJc w:val="right"/>
      <w:pPr>
        <w:ind w:left="2542" w:hanging="180"/>
      </w:pPr>
    </w:lvl>
    <w:lvl w:ilvl="6" w:tplc="0413000F" w:tentative="1">
      <w:start w:val="1"/>
      <w:numFmt w:val="decimal"/>
      <w:lvlText w:val="%7."/>
      <w:lvlJc w:val="left"/>
      <w:pPr>
        <w:ind w:left="3262" w:hanging="360"/>
      </w:pPr>
    </w:lvl>
    <w:lvl w:ilvl="7" w:tplc="04130019" w:tentative="1">
      <w:start w:val="1"/>
      <w:numFmt w:val="lowerLetter"/>
      <w:lvlText w:val="%8."/>
      <w:lvlJc w:val="left"/>
      <w:pPr>
        <w:ind w:left="3982" w:hanging="360"/>
      </w:pPr>
    </w:lvl>
    <w:lvl w:ilvl="8" w:tplc="0413001B" w:tentative="1">
      <w:start w:val="1"/>
      <w:numFmt w:val="lowerRoman"/>
      <w:lvlText w:val="%9."/>
      <w:lvlJc w:val="right"/>
      <w:pPr>
        <w:ind w:left="4702" w:hanging="180"/>
      </w:pPr>
    </w:lvl>
  </w:abstractNum>
  <w:abstractNum w:abstractNumId="15" w15:restartNumberingAfterBreak="0">
    <w:nsid w:val="4B3F7799"/>
    <w:multiLevelType w:val="hybridMultilevel"/>
    <w:tmpl w:val="0024B60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175B36"/>
    <w:multiLevelType w:val="hybridMultilevel"/>
    <w:tmpl w:val="E1C83568"/>
    <w:lvl w:ilvl="0" w:tplc="B57CDF2A">
      <w:start w:val="1"/>
      <w:numFmt w:val="upperLetter"/>
      <w:lvlText w:val="%1."/>
      <w:lvlJc w:val="left"/>
      <w:pPr>
        <w:ind w:left="960" w:hanging="360"/>
      </w:pPr>
      <w:rPr>
        <w:rFonts w:eastAsiaTheme="minorHAnsi" w:cstheme="minorHAnsi" w:hint="default"/>
        <w:color w:val="0563C1" w:themeColor="hyperlink"/>
        <w:sz w:val="20"/>
        <w:u w:val="single"/>
      </w:rPr>
    </w:lvl>
    <w:lvl w:ilvl="1" w:tplc="04130019" w:tentative="1">
      <w:start w:val="1"/>
      <w:numFmt w:val="lowerLetter"/>
      <w:lvlText w:val="%2."/>
      <w:lvlJc w:val="left"/>
      <w:pPr>
        <w:ind w:left="1680" w:hanging="360"/>
      </w:pPr>
    </w:lvl>
    <w:lvl w:ilvl="2" w:tplc="0413001B" w:tentative="1">
      <w:start w:val="1"/>
      <w:numFmt w:val="lowerRoman"/>
      <w:lvlText w:val="%3."/>
      <w:lvlJc w:val="right"/>
      <w:pPr>
        <w:ind w:left="2400" w:hanging="180"/>
      </w:pPr>
    </w:lvl>
    <w:lvl w:ilvl="3" w:tplc="0413000F" w:tentative="1">
      <w:start w:val="1"/>
      <w:numFmt w:val="decimal"/>
      <w:lvlText w:val="%4."/>
      <w:lvlJc w:val="left"/>
      <w:pPr>
        <w:ind w:left="3120" w:hanging="360"/>
      </w:pPr>
    </w:lvl>
    <w:lvl w:ilvl="4" w:tplc="04130019" w:tentative="1">
      <w:start w:val="1"/>
      <w:numFmt w:val="lowerLetter"/>
      <w:lvlText w:val="%5."/>
      <w:lvlJc w:val="left"/>
      <w:pPr>
        <w:ind w:left="3840" w:hanging="360"/>
      </w:pPr>
    </w:lvl>
    <w:lvl w:ilvl="5" w:tplc="0413001B" w:tentative="1">
      <w:start w:val="1"/>
      <w:numFmt w:val="lowerRoman"/>
      <w:lvlText w:val="%6."/>
      <w:lvlJc w:val="right"/>
      <w:pPr>
        <w:ind w:left="4560" w:hanging="180"/>
      </w:pPr>
    </w:lvl>
    <w:lvl w:ilvl="6" w:tplc="0413000F" w:tentative="1">
      <w:start w:val="1"/>
      <w:numFmt w:val="decimal"/>
      <w:lvlText w:val="%7."/>
      <w:lvlJc w:val="left"/>
      <w:pPr>
        <w:ind w:left="5280" w:hanging="360"/>
      </w:pPr>
    </w:lvl>
    <w:lvl w:ilvl="7" w:tplc="04130019" w:tentative="1">
      <w:start w:val="1"/>
      <w:numFmt w:val="lowerLetter"/>
      <w:lvlText w:val="%8."/>
      <w:lvlJc w:val="left"/>
      <w:pPr>
        <w:ind w:left="6000" w:hanging="360"/>
      </w:pPr>
    </w:lvl>
    <w:lvl w:ilvl="8" w:tplc="0413001B" w:tentative="1">
      <w:start w:val="1"/>
      <w:numFmt w:val="lowerRoman"/>
      <w:lvlText w:val="%9."/>
      <w:lvlJc w:val="right"/>
      <w:pPr>
        <w:ind w:left="6720" w:hanging="180"/>
      </w:pPr>
    </w:lvl>
  </w:abstractNum>
  <w:abstractNum w:abstractNumId="17" w15:restartNumberingAfterBreak="0">
    <w:nsid w:val="51CD7D15"/>
    <w:multiLevelType w:val="hybridMultilevel"/>
    <w:tmpl w:val="E12AACFA"/>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5A79295D"/>
    <w:multiLevelType w:val="hybridMultilevel"/>
    <w:tmpl w:val="BA7216B6"/>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5F4C4393"/>
    <w:multiLevelType w:val="hybridMultilevel"/>
    <w:tmpl w:val="E272CFF2"/>
    <w:lvl w:ilvl="0" w:tplc="0413000F">
      <w:start w:val="1"/>
      <w:numFmt w:val="decimal"/>
      <w:lvlText w:val="%1."/>
      <w:lvlJc w:val="left"/>
      <w:pPr>
        <w:ind w:left="502" w:hanging="360"/>
      </w:pPr>
      <w:rPr>
        <w:rFonts w:hint="default"/>
      </w:r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64EF6407"/>
    <w:multiLevelType w:val="hybridMultilevel"/>
    <w:tmpl w:val="759E9DDC"/>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67590394"/>
    <w:multiLevelType w:val="hybridMultilevel"/>
    <w:tmpl w:val="99609F44"/>
    <w:lvl w:ilvl="0" w:tplc="5A6C41F4">
      <w:start w:val="1"/>
      <w:numFmt w:val="upp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67BB4E7D"/>
    <w:multiLevelType w:val="hybridMultilevel"/>
    <w:tmpl w:val="CD4A14B0"/>
    <w:lvl w:ilvl="0" w:tplc="08130015">
      <w:start w:val="1"/>
      <w:numFmt w:val="upperLetter"/>
      <w:lvlText w:val="%1."/>
      <w:lvlJc w:val="left"/>
      <w:pPr>
        <w:ind w:left="720" w:hanging="360"/>
      </w:pPr>
      <w:rPr>
        <w:rFonts w:hint="default"/>
      </w:r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23" w15:restartNumberingAfterBreak="0">
    <w:nsid w:val="68FD0A66"/>
    <w:multiLevelType w:val="hybridMultilevel"/>
    <w:tmpl w:val="58144C64"/>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4" w15:restartNumberingAfterBreak="0">
    <w:nsid w:val="6AEF2F51"/>
    <w:multiLevelType w:val="hybridMultilevel"/>
    <w:tmpl w:val="6DA6EB70"/>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B184A8B"/>
    <w:multiLevelType w:val="hybridMultilevel"/>
    <w:tmpl w:val="1192501C"/>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6" w15:restartNumberingAfterBreak="0">
    <w:nsid w:val="6B5B5E5A"/>
    <w:multiLevelType w:val="hybridMultilevel"/>
    <w:tmpl w:val="631EF21C"/>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27" w15:restartNumberingAfterBreak="0">
    <w:nsid w:val="6BD40571"/>
    <w:multiLevelType w:val="hybridMultilevel"/>
    <w:tmpl w:val="8FD4401A"/>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79DA68E0"/>
    <w:multiLevelType w:val="hybridMultilevel"/>
    <w:tmpl w:val="3D9A8E4E"/>
    <w:lvl w:ilvl="0" w:tplc="C1AA279A">
      <w:numFmt w:val="bullet"/>
      <w:lvlText w:val="-"/>
      <w:lvlJc w:val="left"/>
      <w:pPr>
        <w:ind w:left="1261" w:hanging="280"/>
      </w:pPr>
      <w:rPr>
        <w:rFonts w:ascii="Corbel" w:eastAsia="Corbel" w:hAnsi="Corbel" w:cs="Corbel" w:hint="default"/>
        <w:b w:val="0"/>
        <w:bCs w:val="0"/>
        <w:i w:val="0"/>
        <w:iCs w:val="0"/>
        <w:spacing w:val="0"/>
        <w:w w:val="100"/>
        <w:sz w:val="20"/>
        <w:szCs w:val="20"/>
        <w:lang w:val="nl-NL" w:eastAsia="en-US" w:bidi="ar-SA"/>
      </w:rPr>
    </w:lvl>
    <w:lvl w:ilvl="1" w:tplc="B0A889B2">
      <w:numFmt w:val="bullet"/>
      <w:lvlText w:val="-"/>
      <w:lvlJc w:val="left"/>
      <w:pPr>
        <w:ind w:left="1831" w:hanging="285"/>
      </w:pPr>
      <w:rPr>
        <w:rFonts w:ascii="Corbel" w:eastAsia="Corbel" w:hAnsi="Corbel" w:cs="Corbel" w:hint="default"/>
        <w:b w:val="0"/>
        <w:bCs w:val="0"/>
        <w:i w:val="0"/>
        <w:iCs w:val="0"/>
        <w:spacing w:val="0"/>
        <w:w w:val="100"/>
        <w:sz w:val="20"/>
        <w:szCs w:val="20"/>
        <w:lang w:val="nl-NL" w:eastAsia="en-US" w:bidi="ar-SA"/>
      </w:rPr>
    </w:lvl>
    <w:lvl w:ilvl="2" w:tplc="F7A28B90">
      <w:numFmt w:val="bullet"/>
      <w:lvlText w:val="•"/>
      <w:lvlJc w:val="left"/>
      <w:pPr>
        <w:ind w:left="2731" w:hanging="285"/>
      </w:pPr>
      <w:rPr>
        <w:rFonts w:hint="default"/>
        <w:lang w:val="nl-NL" w:eastAsia="en-US" w:bidi="ar-SA"/>
      </w:rPr>
    </w:lvl>
    <w:lvl w:ilvl="3" w:tplc="79E26C98">
      <w:numFmt w:val="bullet"/>
      <w:lvlText w:val="•"/>
      <w:lvlJc w:val="left"/>
      <w:pPr>
        <w:ind w:left="3622" w:hanging="285"/>
      </w:pPr>
      <w:rPr>
        <w:rFonts w:hint="default"/>
        <w:lang w:val="nl-NL" w:eastAsia="en-US" w:bidi="ar-SA"/>
      </w:rPr>
    </w:lvl>
    <w:lvl w:ilvl="4" w:tplc="76D8D1CC">
      <w:numFmt w:val="bullet"/>
      <w:lvlText w:val="•"/>
      <w:lvlJc w:val="left"/>
      <w:pPr>
        <w:ind w:left="4513" w:hanging="285"/>
      </w:pPr>
      <w:rPr>
        <w:rFonts w:hint="default"/>
        <w:lang w:val="nl-NL" w:eastAsia="en-US" w:bidi="ar-SA"/>
      </w:rPr>
    </w:lvl>
    <w:lvl w:ilvl="5" w:tplc="28DCEDF8">
      <w:numFmt w:val="bullet"/>
      <w:lvlText w:val="•"/>
      <w:lvlJc w:val="left"/>
      <w:pPr>
        <w:ind w:left="5404" w:hanging="285"/>
      </w:pPr>
      <w:rPr>
        <w:rFonts w:hint="default"/>
        <w:lang w:val="nl-NL" w:eastAsia="en-US" w:bidi="ar-SA"/>
      </w:rPr>
    </w:lvl>
    <w:lvl w:ilvl="6" w:tplc="E8165B24">
      <w:numFmt w:val="bullet"/>
      <w:lvlText w:val="•"/>
      <w:lvlJc w:val="left"/>
      <w:pPr>
        <w:ind w:left="6295" w:hanging="285"/>
      </w:pPr>
      <w:rPr>
        <w:rFonts w:hint="default"/>
        <w:lang w:val="nl-NL" w:eastAsia="en-US" w:bidi="ar-SA"/>
      </w:rPr>
    </w:lvl>
    <w:lvl w:ilvl="7" w:tplc="0FA6C30E">
      <w:numFmt w:val="bullet"/>
      <w:lvlText w:val="•"/>
      <w:lvlJc w:val="left"/>
      <w:pPr>
        <w:ind w:left="7186" w:hanging="285"/>
      </w:pPr>
      <w:rPr>
        <w:rFonts w:hint="default"/>
        <w:lang w:val="nl-NL" w:eastAsia="en-US" w:bidi="ar-SA"/>
      </w:rPr>
    </w:lvl>
    <w:lvl w:ilvl="8" w:tplc="668A1284">
      <w:numFmt w:val="bullet"/>
      <w:lvlText w:val="•"/>
      <w:lvlJc w:val="left"/>
      <w:pPr>
        <w:ind w:left="8077" w:hanging="285"/>
      </w:pPr>
      <w:rPr>
        <w:rFonts w:hint="default"/>
        <w:lang w:val="nl-NL" w:eastAsia="en-US" w:bidi="ar-SA"/>
      </w:rPr>
    </w:lvl>
  </w:abstractNum>
  <w:abstractNum w:abstractNumId="29" w15:restartNumberingAfterBreak="0">
    <w:nsid w:val="7B2E732A"/>
    <w:multiLevelType w:val="hybridMultilevel"/>
    <w:tmpl w:val="E46823F2"/>
    <w:lvl w:ilvl="0" w:tplc="04130015">
      <w:start w:val="1"/>
      <w:numFmt w:val="upp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0" w15:restartNumberingAfterBreak="0">
    <w:nsid w:val="7B362CF0"/>
    <w:multiLevelType w:val="hybridMultilevel"/>
    <w:tmpl w:val="677A3BD0"/>
    <w:lvl w:ilvl="0" w:tplc="04130019">
      <w:start w:val="1"/>
      <w:numFmt w:val="lowerLetter"/>
      <w:lvlText w:val="%1."/>
      <w:lvlJc w:val="left"/>
      <w:pPr>
        <w:ind w:left="1068" w:hanging="360"/>
      </w:pPr>
      <w:rPr>
        <w:rFonts w:hint="default"/>
      </w:rPr>
    </w:lvl>
    <w:lvl w:ilvl="1" w:tplc="04130019">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688724679">
    <w:abstractNumId w:val="26"/>
  </w:num>
  <w:num w:numId="2" w16cid:durableId="198934036">
    <w:abstractNumId w:val="9"/>
  </w:num>
  <w:num w:numId="3" w16cid:durableId="739642333">
    <w:abstractNumId w:val="1"/>
  </w:num>
  <w:num w:numId="4" w16cid:durableId="1287615978">
    <w:abstractNumId w:val="15"/>
  </w:num>
  <w:num w:numId="5" w16cid:durableId="581989652">
    <w:abstractNumId w:val="19"/>
  </w:num>
  <w:num w:numId="6" w16cid:durableId="1586063765">
    <w:abstractNumId w:val="0"/>
  </w:num>
  <w:num w:numId="7" w16cid:durableId="1316228826">
    <w:abstractNumId w:val="20"/>
  </w:num>
  <w:num w:numId="8" w16cid:durableId="175270514">
    <w:abstractNumId w:val="10"/>
  </w:num>
  <w:num w:numId="9" w16cid:durableId="1866289806">
    <w:abstractNumId w:val="27"/>
  </w:num>
  <w:num w:numId="10" w16cid:durableId="1029185198">
    <w:abstractNumId w:val="25"/>
  </w:num>
  <w:num w:numId="11" w16cid:durableId="813914364">
    <w:abstractNumId w:val="2"/>
  </w:num>
  <w:num w:numId="12" w16cid:durableId="1577016292">
    <w:abstractNumId w:val="7"/>
  </w:num>
  <w:num w:numId="13" w16cid:durableId="952440612">
    <w:abstractNumId w:val="22"/>
  </w:num>
  <w:num w:numId="14" w16cid:durableId="261303962">
    <w:abstractNumId w:val="6"/>
  </w:num>
  <w:num w:numId="15" w16cid:durableId="1853176518">
    <w:abstractNumId w:val="23"/>
  </w:num>
  <w:num w:numId="16" w16cid:durableId="658965946">
    <w:abstractNumId w:val="30"/>
  </w:num>
  <w:num w:numId="17" w16cid:durableId="1133982875">
    <w:abstractNumId w:val="28"/>
  </w:num>
  <w:num w:numId="18" w16cid:durableId="1104425092">
    <w:abstractNumId w:val="5"/>
  </w:num>
  <w:num w:numId="19" w16cid:durableId="248465307">
    <w:abstractNumId w:val="29"/>
  </w:num>
  <w:num w:numId="20" w16cid:durableId="1573855062">
    <w:abstractNumId w:val="8"/>
  </w:num>
  <w:num w:numId="21" w16cid:durableId="850264816">
    <w:abstractNumId w:val="13"/>
  </w:num>
  <w:num w:numId="22" w16cid:durableId="598803725">
    <w:abstractNumId w:val="11"/>
  </w:num>
  <w:num w:numId="23" w16cid:durableId="139923587">
    <w:abstractNumId w:val="24"/>
  </w:num>
  <w:num w:numId="24" w16cid:durableId="978875195">
    <w:abstractNumId w:val="18"/>
  </w:num>
  <w:num w:numId="25" w16cid:durableId="1916043071">
    <w:abstractNumId w:val="12"/>
  </w:num>
  <w:num w:numId="26" w16cid:durableId="1780294818">
    <w:abstractNumId w:val="14"/>
  </w:num>
  <w:num w:numId="27" w16cid:durableId="1037702562">
    <w:abstractNumId w:val="3"/>
  </w:num>
  <w:num w:numId="28" w16cid:durableId="35476189">
    <w:abstractNumId w:val="21"/>
  </w:num>
  <w:num w:numId="29" w16cid:durableId="1021931426">
    <w:abstractNumId w:val="4"/>
  </w:num>
  <w:num w:numId="30" w16cid:durableId="1861814571">
    <w:abstractNumId w:val="17"/>
  </w:num>
  <w:num w:numId="31" w16cid:durableId="74202254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1"/>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8A3"/>
    <w:rsid w:val="00095038"/>
    <w:rsid w:val="00BD18A3"/>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ecimalSymbol w:val=","/>
  <w:listSeparator w:val=";"/>
  <w14:docId w14:val="1544DE95"/>
  <w15:chartTrackingRefBased/>
  <w15:docId w15:val="{AEA92F69-0B25-154E-9ACF-FE1D19C85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nl-B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BD18A3"/>
    <w:pPr>
      <w:spacing w:line="360" w:lineRule="auto"/>
      <w:jc w:val="both"/>
    </w:pPr>
    <w:rPr>
      <w:rFonts w:ascii="Verdana" w:hAnsi="Verdana"/>
      <w:kern w:val="0"/>
      <w:sz w:val="20"/>
      <w14:ligatures w14:val="none"/>
    </w:rPr>
  </w:style>
  <w:style w:type="paragraph" w:styleId="Kop1">
    <w:name w:val="heading 1"/>
    <w:aliases w:val="DEEL"/>
    <w:basedOn w:val="Standaard"/>
    <w:next w:val="Standaard"/>
    <w:link w:val="Kop1Char"/>
    <w:uiPriority w:val="9"/>
    <w:qFormat/>
    <w:rsid w:val="00BD18A3"/>
    <w:pPr>
      <w:keepNext/>
      <w:keepLines/>
      <w:spacing w:before="240" w:after="240" w:line="240" w:lineRule="auto"/>
      <w:outlineLvl w:val="0"/>
    </w:pPr>
    <w:rPr>
      <w:rFonts w:eastAsiaTheme="majorEastAsia" w:cstheme="majorBidi"/>
      <w:b/>
      <w:color w:val="2F5496" w:themeColor="accent1" w:themeShade="BF"/>
      <w:sz w:val="24"/>
      <w:szCs w:val="32"/>
    </w:rPr>
  </w:style>
  <w:style w:type="paragraph" w:styleId="Kop2">
    <w:name w:val="heading 2"/>
    <w:aliases w:val="Hoofdstuk"/>
    <w:basedOn w:val="Standaard"/>
    <w:next w:val="Standaard"/>
    <w:link w:val="Kop2Char"/>
    <w:uiPriority w:val="9"/>
    <w:unhideWhenUsed/>
    <w:qFormat/>
    <w:rsid w:val="00BD18A3"/>
    <w:pPr>
      <w:keepNext/>
      <w:keepLines/>
      <w:spacing w:before="240" w:after="240" w:line="240" w:lineRule="auto"/>
      <w:outlineLvl w:val="1"/>
    </w:pPr>
    <w:rPr>
      <w:rFonts w:eastAsiaTheme="majorEastAsia" w:cstheme="majorBidi"/>
      <w:b/>
      <w:color w:val="000000" w:themeColor="text1"/>
      <w:sz w:val="24"/>
      <w:szCs w:val="26"/>
    </w:rPr>
  </w:style>
  <w:style w:type="paragraph" w:styleId="Kop3">
    <w:name w:val="heading 3"/>
    <w:aliases w:val="1."/>
    <w:basedOn w:val="Standaard"/>
    <w:next w:val="Standaard"/>
    <w:link w:val="Kop3Char"/>
    <w:uiPriority w:val="9"/>
    <w:unhideWhenUsed/>
    <w:qFormat/>
    <w:rsid w:val="00BD18A3"/>
    <w:pPr>
      <w:keepNext/>
      <w:keepLines/>
      <w:spacing w:before="240" w:after="240" w:line="240" w:lineRule="auto"/>
      <w:outlineLvl w:val="2"/>
    </w:pPr>
    <w:rPr>
      <w:rFonts w:eastAsiaTheme="majorEastAsia" w:cstheme="majorBidi"/>
      <w:b/>
      <w:color w:val="000000" w:themeColor="text1"/>
    </w:rPr>
  </w:style>
  <w:style w:type="paragraph" w:styleId="Kop4">
    <w:name w:val="heading 4"/>
    <w:aliases w:val="A"/>
    <w:basedOn w:val="Standaard"/>
    <w:next w:val="Standaard"/>
    <w:link w:val="Kop4Char"/>
    <w:uiPriority w:val="9"/>
    <w:unhideWhenUsed/>
    <w:qFormat/>
    <w:rsid w:val="00BD18A3"/>
    <w:pPr>
      <w:keepNext/>
      <w:keepLines/>
      <w:spacing w:before="240" w:after="240" w:line="240" w:lineRule="auto"/>
      <w:outlineLvl w:val="3"/>
    </w:pPr>
    <w:rPr>
      <w:rFonts w:eastAsiaTheme="majorEastAsia" w:cstheme="majorBidi"/>
      <w:b/>
      <w:i/>
      <w:iCs/>
      <w:color w:val="000000" w:themeColor="text1"/>
    </w:rPr>
  </w:style>
  <w:style w:type="paragraph" w:styleId="Kop5">
    <w:name w:val="heading 5"/>
    <w:aliases w:val="a"/>
    <w:basedOn w:val="Standaard"/>
    <w:next w:val="Standaard"/>
    <w:link w:val="Kop5Char"/>
    <w:uiPriority w:val="9"/>
    <w:unhideWhenUsed/>
    <w:qFormat/>
    <w:rsid w:val="00BD18A3"/>
    <w:pPr>
      <w:keepNext/>
      <w:keepLines/>
      <w:spacing w:before="280" w:after="240" w:line="240" w:lineRule="auto"/>
      <w:outlineLvl w:val="4"/>
    </w:pPr>
    <w:rPr>
      <w:rFonts w:eastAsiaTheme="majorEastAsia" w:cstheme="majorBidi"/>
      <w:i/>
      <w:color w:val="000000" w:themeColor="tex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DEEL Char"/>
    <w:basedOn w:val="Standaardalinea-lettertype"/>
    <w:link w:val="Kop1"/>
    <w:uiPriority w:val="9"/>
    <w:rsid w:val="00BD18A3"/>
    <w:rPr>
      <w:rFonts w:ascii="Verdana" w:eastAsiaTheme="majorEastAsia" w:hAnsi="Verdana" w:cstheme="majorBidi"/>
      <w:b/>
      <w:color w:val="2F5496" w:themeColor="accent1" w:themeShade="BF"/>
      <w:kern w:val="0"/>
      <w:szCs w:val="32"/>
      <w14:ligatures w14:val="none"/>
    </w:rPr>
  </w:style>
  <w:style w:type="character" w:customStyle="1" w:styleId="Kop2Char">
    <w:name w:val="Kop 2 Char"/>
    <w:aliases w:val="Hoofdstuk Char"/>
    <w:basedOn w:val="Standaardalinea-lettertype"/>
    <w:link w:val="Kop2"/>
    <w:uiPriority w:val="9"/>
    <w:rsid w:val="00BD18A3"/>
    <w:rPr>
      <w:rFonts w:ascii="Verdana" w:eastAsiaTheme="majorEastAsia" w:hAnsi="Verdana" w:cstheme="majorBidi"/>
      <w:b/>
      <w:color w:val="000000" w:themeColor="text1"/>
      <w:kern w:val="0"/>
      <w:szCs w:val="26"/>
      <w14:ligatures w14:val="none"/>
    </w:rPr>
  </w:style>
  <w:style w:type="character" w:customStyle="1" w:styleId="Kop3Char">
    <w:name w:val="Kop 3 Char"/>
    <w:aliases w:val="1. Char"/>
    <w:basedOn w:val="Standaardalinea-lettertype"/>
    <w:link w:val="Kop3"/>
    <w:uiPriority w:val="9"/>
    <w:rsid w:val="00BD18A3"/>
    <w:rPr>
      <w:rFonts w:ascii="Verdana" w:eastAsiaTheme="majorEastAsia" w:hAnsi="Verdana" w:cstheme="majorBidi"/>
      <w:b/>
      <w:color w:val="000000" w:themeColor="text1"/>
      <w:kern w:val="0"/>
      <w:sz w:val="20"/>
      <w14:ligatures w14:val="none"/>
    </w:rPr>
  </w:style>
  <w:style w:type="character" w:customStyle="1" w:styleId="Kop4Char">
    <w:name w:val="Kop 4 Char"/>
    <w:aliases w:val="A Char"/>
    <w:basedOn w:val="Standaardalinea-lettertype"/>
    <w:link w:val="Kop4"/>
    <w:uiPriority w:val="9"/>
    <w:rsid w:val="00BD18A3"/>
    <w:rPr>
      <w:rFonts w:ascii="Verdana" w:eastAsiaTheme="majorEastAsia" w:hAnsi="Verdana" w:cstheme="majorBidi"/>
      <w:b/>
      <w:i/>
      <w:iCs/>
      <w:color w:val="000000" w:themeColor="text1"/>
      <w:kern w:val="0"/>
      <w:sz w:val="20"/>
      <w14:ligatures w14:val="none"/>
    </w:rPr>
  </w:style>
  <w:style w:type="character" w:customStyle="1" w:styleId="Kop5Char">
    <w:name w:val="Kop 5 Char"/>
    <w:aliases w:val="a Char"/>
    <w:basedOn w:val="Standaardalinea-lettertype"/>
    <w:link w:val="Kop5"/>
    <w:uiPriority w:val="9"/>
    <w:rsid w:val="00BD18A3"/>
    <w:rPr>
      <w:rFonts w:ascii="Verdana" w:eastAsiaTheme="majorEastAsia" w:hAnsi="Verdana" w:cstheme="majorBidi"/>
      <w:i/>
      <w:color w:val="000000" w:themeColor="text1"/>
      <w:kern w:val="0"/>
      <w:sz w:val="20"/>
      <w14:ligatures w14:val="none"/>
    </w:rPr>
  </w:style>
  <w:style w:type="paragraph" w:styleId="Kopvaninhoudsopgave">
    <w:name w:val="TOC Heading"/>
    <w:basedOn w:val="Kop1"/>
    <w:next w:val="Standaard"/>
    <w:uiPriority w:val="39"/>
    <w:unhideWhenUsed/>
    <w:qFormat/>
    <w:rsid w:val="00BD18A3"/>
    <w:pPr>
      <w:spacing w:before="480" w:line="276" w:lineRule="auto"/>
      <w:outlineLvl w:val="9"/>
    </w:pPr>
    <w:rPr>
      <w:b w:val="0"/>
      <w:bCs/>
      <w:sz w:val="28"/>
      <w:szCs w:val="28"/>
      <w:lang w:eastAsia="nl-NL"/>
    </w:rPr>
  </w:style>
  <w:style w:type="paragraph" w:styleId="Inhopg1">
    <w:name w:val="toc 1"/>
    <w:basedOn w:val="Standaard"/>
    <w:next w:val="Standaard"/>
    <w:autoRedefine/>
    <w:uiPriority w:val="39"/>
    <w:unhideWhenUsed/>
    <w:rsid w:val="00BD18A3"/>
    <w:pPr>
      <w:spacing w:before="240" w:after="120"/>
      <w:jc w:val="left"/>
    </w:pPr>
    <w:rPr>
      <w:rFonts w:asciiTheme="minorHAnsi" w:hAnsiTheme="minorHAnsi" w:cstheme="minorHAnsi"/>
      <w:b/>
      <w:bCs/>
      <w:szCs w:val="20"/>
    </w:rPr>
  </w:style>
  <w:style w:type="paragraph" w:styleId="Inhopg2">
    <w:name w:val="toc 2"/>
    <w:basedOn w:val="Standaard"/>
    <w:next w:val="Standaard"/>
    <w:autoRedefine/>
    <w:uiPriority w:val="39"/>
    <w:unhideWhenUsed/>
    <w:rsid w:val="00BD18A3"/>
    <w:pPr>
      <w:spacing w:before="120"/>
      <w:ind w:left="200"/>
      <w:jc w:val="left"/>
    </w:pPr>
    <w:rPr>
      <w:rFonts w:asciiTheme="minorHAnsi" w:hAnsiTheme="minorHAnsi" w:cstheme="minorHAnsi"/>
      <w:i/>
      <w:iCs/>
      <w:szCs w:val="20"/>
    </w:rPr>
  </w:style>
  <w:style w:type="paragraph" w:styleId="Inhopg3">
    <w:name w:val="toc 3"/>
    <w:basedOn w:val="Standaard"/>
    <w:next w:val="Standaard"/>
    <w:autoRedefine/>
    <w:uiPriority w:val="39"/>
    <w:unhideWhenUsed/>
    <w:rsid w:val="00BD18A3"/>
    <w:pPr>
      <w:ind w:left="400"/>
      <w:jc w:val="left"/>
    </w:pPr>
    <w:rPr>
      <w:rFonts w:asciiTheme="minorHAnsi" w:hAnsiTheme="minorHAnsi" w:cstheme="minorHAnsi"/>
      <w:szCs w:val="20"/>
    </w:rPr>
  </w:style>
  <w:style w:type="character" w:styleId="Hyperlink">
    <w:name w:val="Hyperlink"/>
    <w:basedOn w:val="Standaardalinea-lettertype"/>
    <w:uiPriority w:val="99"/>
    <w:unhideWhenUsed/>
    <w:rsid w:val="00BD18A3"/>
    <w:rPr>
      <w:color w:val="0563C1" w:themeColor="hyperlink"/>
      <w:u w:val="single"/>
    </w:rPr>
  </w:style>
  <w:style w:type="table" w:customStyle="1" w:styleId="Tablestyle">
    <w:name w:val="Table style"/>
    <w:basedOn w:val="Standaardtabel"/>
    <w:rsid w:val="00BD18A3"/>
    <w:rPr>
      <w:rFonts w:ascii="Times New Roman" w:eastAsia="Times New Roman" w:hAnsi="Times New Roman" w:cs="Times New Roman"/>
      <w:kern w:val="0"/>
      <w:sz w:val="20"/>
      <w:szCs w:val="20"/>
      <w:lang w:val="nl-NL" w:eastAsia="nl-NL"/>
      <w14:ligatures w14:val="none"/>
    </w:rPr>
    <w:tblPr>
      <w:tblCellMar>
        <w:left w:w="0" w:type="dxa"/>
        <w:right w:w="0" w:type="dxa"/>
      </w:tblCellMar>
    </w:tblPr>
  </w:style>
  <w:style w:type="paragraph" w:customStyle="1" w:styleId="Faculteit">
    <w:name w:val="Faculteit"/>
    <w:basedOn w:val="Standaard"/>
    <w:uiPriority w:val="99"/>
    <w:qFormat/>
    <w:rsid w:val="00BD18A3"/>
    <w:pPr>
      <w:suppressAutoHyphens/>
      <w:spacing w:line="260" w:lineRule="atLeast"/>
    </w:pPr>
    <w:rPr>
      <w:rFonts w:eastAsia="Times New Roman" w:cs="Times New Roman"/>
      <w:color w:val="ED7D31" w:themeColor="accent2"/>
      <w:lang w:val="en-US" w:eastAsia="zh-CN"/>
    </w:rPr>
  </w:style>
  <w:style w:type="paragraph" w:styleId="Lijstalinea">
    <w:name w:val="List Paragraph"/>
    <w:basedOn w:val="Standaard"/>
    <w:uiPriority w:val="1"/>
    <w:qFormat/>
    <w:rsid w:val="00BD18A3"/>
    <w:pPr>
      <w:contextualSpacing/>
    </w:pPr>
  </w:style>
  <w:style w:type="paragraph" w:styleId="Geenafstand">
    <w:name w:val="No Spacing"/>
    <w:aliases w:val="Kop"/>
    <w:uiPriority w:val="1"/>
    <w:rsid w:val="00BD18A3"/>
    <w:pPr>
      <w:jc w:val="both"/>
    </w:pPr>
    <w:rPr>
      <w:rFonts w:ascii="Verdana" w:hAnsi="Verdana" w:cs="Times New Roman (Hoofdtekst CS)"/>
      <w:color w:val="2F5496" w:themeColor="accent1" w:themeShade="BF"/>
      <w:kern w:val="0"/>
      <w:u w:val="single"/>
      <w14:ligatures w14:val="none"/>
    </w:rPr>
  </w:style>
  <w:style w:type="paragraph" w:styleId="Voetnoottekst">
    <w:name w:val="footnote text"/>
    <w:basedOn w:val="Standaard"/>
    <w:link w:val="VoetnoottekstChar"/>
    <w:uiPriority w:val="99"/>
    <w:unhideWhenUsed/>
    <w:rsid w:val="00BD18A3"/>
    <w:pPr>
      <w:spacing w:line="240" w:lineRule="auto"/>
    </w:pPr>
    <w:rPr>
      <w:szCs w:val="20"/>
    </w:rPr>
  </w:style>
  <w:style w:type="character" w:customStyle="1" w:styleId="VoetnoottekstChar">
    <w:name w:val="Voetnoottekst Char"/>
    <w:basedOn w:val="Standaardalinea-lettertype"/>
    <w:link w:val="Voetnoottekst"/>
    <w:uiPriority w:val="99"/>
    <w:rsid w:val="00BD18A3"/>
    <w:rPr>
      <w:rFonts w:ascii="Verdana" w:hAnsi="Verdana"/>
      <w:kern w:val="0"/>
      <w:sz w:val="20"/>
      <w:szCs w:val="20"/>
      <w14:ligatures w14:val="none"/>
    </w:rPr>
  </w:style>
  <w:style w:type="character" w:styleId="Voetnootmarkering">
    <w:name w:val="footnote reference"/>
    <w:basedOn w:val="Standaardalinea-lettertype"/>
    <w:uiPriority w:val="99"/>
    <w:semiHidden/>
    <w:unhideWhenUsed/>
    <w:rsid w:val="00BD18A3"/>
    <w:rPr>
      <w:vertAlign w:val="superscript"/>
    </w:rPr>
  </w:style>
  <w:style w:type="paragraph" w:styleId="Normaalweb">
    <w:name w:val="Normal (Web)"/>
    <w:basedOn w:val="Standaard"/>
    <w:uiPriority w:val="99"/>
    <w:unhideWhenUsed/>
    <w:rsid w:val="00BD18A3"/>
    <w:pPr>
      <w:spacing w:before="100" w:beforeAutospacing="1" w:after="100" w:afterAutospacing="1" w:line="240" w:lineRule="auto"/>
      <w:jc w:val="left"/>
    </w:pPr>
    <w:rPr>
      <w:rFonts w:ascii="Times New Roman" w:eastAsia="Times New Roman" w:hAnsi="Times New Roman" w:cs="Times New Roman"/>
      <w:sz w:val="24"/>
      <w:lang w:eastAsia="nl-NL"/>
    </w:rPr>
  </w:style>
  <w:style w:type="paragraph" w:styleId="Voettekst">
    <w:name w:val="footer"/>
    <w:basedOn w:val="Standaard"/>
    <w:link w:val="VoettekstChar"/>
    <w:uiPriority w:val="99"/>
    <w:unhideWhenUsed/>
    <w:rsid w:val="00BD18A3"/>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BD18A3"/>
    <w:rPr>
      <w:rFonts w:ascii="Verdana" w:hAnsi="Verdana"/>
      <w:kern w:val="0"/>
      <w:sz w:val="20"/>
      <w14:ligatures w14:val="none"/>
    </w:rPr>
  </w:style>
  <w:style w:type="character" w:styleId="Paginanummer">
    <w:name w:val="page number"/>
    <w:basedOn w:val="Standaardalinea-lettertype"/>
    <w:uiPriority w:val="99"/>
    <w:semiHidden/>
    <w:unhideWhenUsed/>
    <w:rsid w:val="00BD18A3"/>
  </w:style>
  <w:style w:type="paragraph" w:styleId="Inhopg4">
    <w:name w:val="toc 4"/>
    <w:basedOn w:val="Standaard"/>
    <w:next w:val="Standaard"/>
    <w:autoRedefine/>
    <w:uiPriority w:val="39"/>
    <w:unhideWhenUsed/>
    <w:rsid w:val="00BD18A3"/>
    <w:pPr>
      <w:tabs>
        <w:tab w:val="left" w:pos="1000"/>
        <w:tab w:val="right" w:leader="dot" w:pos="9062"/>
      </w:tabs>
      <w:ind w:left="600"/>
      <w:jc w:val="left"/>
    </w:pPr>
    <w:rPr>
      <w:rFonts w:asciiTheme="minorHAnsi" w:hAnsiTheme="minorHAnsi" w:cstheme="minorHAnsi"/>
      <w:szCs w:val="20"/>
    </w:rPr>
  </w:style>
  <w:style w:type="paragraph" w:styleId="Inhopg5">
    <w:name w:val="toc 5"/>
    <w:basedOn w:val="Standaard"/>
    <w:next w:val="Standaard"/>
    <w:autoRedefine/>
    <w:uiPriority w:val="39"/>
    <w:unhideWhenUsed/>
    <w:rsid w:val="00BD18A3"/>
    <w:pPr>
      <w:ind w:left="800"/>
      <w:jc w:val="left"/>
    </w:pPr>
    <w:rPr>
      <w:rFonts w:asciiTheme="minorHAnsi" w:hAnsiTheme="minorHAnsi" w:cstheme="minorHAnsi"/>
      <w:szCs w:val="20"/>
    </w:rPr>
  </w:style>
  <w:style w:type="paragraph" w:styleId="Inhopg6">
    <w:name w:val="toc 6"/>
    <w:basedOn w:val="Standaard"/>
    <w:next w:val="Standaard"/>
    <w:autoRedefine/>
    <w:uiPriority w:val="39"/>
    <w:unhideWhenUsed/>
    <w:rsid w:val="00BD18A3"/>
    <w:pPr>
      <w:ind w:left="1000"/>
      <w:jc w:val="left"/>
    </w:pPr>
    <w:rPr>
      <w:rFonts w:asciiTheme="minorHAnsi" w:hAnsiTheme="minorHAnsi" w:cstheme="minorHAnsi"/>
      <w:szCs w:val="20"/>
    </w:rPr>
  </w:style>
  <w:style w:type="paragraph" w:styleId="Inhopg7">
    <w:name w:val="toc 7"/>
    <w:basedOn w:val="Standaard"/>
    <w:next w:val="Standaard"/>
    <w:autoRedefine/>
    <w:uiPriority w:val="39"/>
    <w:unhideWhenUsed/>
    <w:rsid w:val="00BD18A3"/>
    <w:pPr>
      <w:ind w:left="1200"/>
      <w:jc w:val="left"/>
    </w:pPr>
    <w:rPr>
      <w:rFonts w:asciiTheme="minorHAnsi" w:hAnsiTheme="minorHAnsi" w:cstheme="minorHAnsi"/>
      <w:szCs w:val="20"/>
    </w:rPr>
  </w:style>
  <w:style w:type="paragraph" w:styleId="Inhopg8">
    <w:name w:val="toc 8"/>
    <w:basedOn w:val="Standaard"/>
    <w:next w:val="Standaard"/>
    <w:autoRedefine/>
    <w:uiPriority w:val="39"/>
    <w:unhideWhenUsed/>
    <w:rsid w:val="00BD18A3"/>
    <w:pPr>
      <w:ind w:left="1400"/>
      <w:jc w:val="left"/>
    </w:pPr>
    <w:rPr>
      <w:rFonts w:asciiTheme="minorHAnsi" w:hAnsiTheme="minorHAnsi" w:cstheme="minorHAnsi"/>
      <w:szCs w:val="20"/>
    </w:rPr>
  </w:style>
  <w:style w:type="paragraph" w:styleId="Inhopg9">
    <w:name w:val="toc 9"/>
    <w:basedOn w:val="Standaard"/>
    <w:next w:val="Standaard"/>
    <w:autoRedefine/>
    <w:uiPriority w:val="39"/>
    <w:unhideWhenUsed/>
    <w:rsid w:val="00BD18A3"/>
    <w:pPr>
      <w:ind w:left="1600"/>
      <w:jc w:val="left"/>
    </w:pPr>
    <w:rPr>
      <w:rFonts w:asciiTheme="minorHAnsi" w:hAnsiTheme="minorHAnsi" w:cstheme="minorHAnsi"/>
      <w:szCs w:val="20"/>
    </w:rPr>
  </w:style>
  <w:style w:type="paragraph" w:styleId="Koptekst">
    <w:name w:val="header"/>
    <w:basedOn w:val="Standaard"/>
    <w:link w:val="KoptekstChar"/>
    <w:uiPriority w:val="99"/>
    <w:unhideWhenUsed/>
    <w:rsid w:val="00BD18A3"/>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BD18A3"/>
    <w:rPr>
      <w:rFonts w:ascii="Verdana" w:hAnsi="Verdana"/>
      <w:kern w:val="0"/>
      <w:sz w:val="20"/>
      <w14:ligatures w14:val="none"/>
    </w:rPr>
  </w:style>
  <w:style w:type="character" w:styleId="GevolgdeHyperlink">
    <w:name w:val="FollowedHyperlink"/>
    <w:basedOn w:val="Standaardalinea-lettertype"/>
    <w:uiPriority w:val="99"/>
    <w:semiHidden/>
    <w:unhideWhenUsed/>
    <w:rsid w:val="00BD18A3"/>
    <w:rPr>
      <w:color w:val="954F72" w:themeColor="followedHyperlink"/>
      <w:u w:val="single"/>
    </w:rPr>
  </w:style>
  <w:style w:type="paragraph" w:styleId="Plattetekst">
    <w:name w:val="Body Text"/>
    <w:basedOn w:val="Standaard"/>
    <w:link w:val="PlattetekstChar"/>
    <w:uiPriority w:val="1"/>
    <w:qFormat/>
    <w:rsid w:val="00BD18A3"/>
    <w:pPr>
      <w:widowControl w:val="0"/>
      <w:autoSpaceDE w:val="0"/>
      <w:autoSpaceDN w:val="0"/>
      <w:spacing w:line="240" w:lineRule="auto"/>
      <w:jc w:val="left"/>
    </w:pPr>
    <w:rPr>
      <w:rFonts w:ascii="Arial MT" w:eastAsia="Arial MT" w:hAnsi="Arial MT" w:cs="Arial MT"/>
      <w:szCs w:val="20"/>
      <w:lang w:val="nl-NL"/>
    </w:rPr>
  </w:style>
  <w:style w:type="character" w:customStyle="1" w:styleId="PlattetekstChar">
    <w:name w:val="Platte tekst Char"/>
    <w:basedOn w:val="Standaardalinea-lettertype"/>
    <w:link w:val="Plattetekst"/>
    <w:uiPriority w:val="1"/>
    <w:rsid w:val="00BD18A3"/>
    <w:rPr>
      <w:rFonts w:ascii="Arial MT" w:eastAsia="Arial MT" w:hAnsi="Arial MT" w:cs="Arial MT"/>
      <w:kern w:val="0"/>
      <w:sz w:val="20"/>
      <w:szCs w:val="20"/>
      <w:lang w:val="nl-NL"/>
      <w14:ligatures w14:val="none"/>
    </w:rPr>
  </w:style>
  <w:style w:type="paragraph" w:styleId="Titel">
    <w:name w:val="Title"/>
    <w:basedOn w:val="Standaard"/>
    <w:link w:val="TitelChar"/>
    <w:uiPriority w:val="10"/>
    <w:qFormat/>
    <w:rsid w:val="00BD18A3"/>
    <w:pPr>
      <w:widowControl w:val="0"/>
      <w:autoSpaceDE w:val="0"/>
      <w:autoSpaceDN w:val="0"/>
      <w:spacing w:line="240" w:lineRule="auto"/>
      <w:ind w:left="1480"/>
      <w:jc w:val="left"/>
    </w:pPr>
    <w:rPr>
      <w:rFonts w:eastAsia="Verdana" w:cs="Verdana"/>
      <w:b/>
      <w:bCs/>
      <w:sz w:val="40"/>
      <w:szCs w:val="40"/>
      <w:lang w:val="nl-NL"/>
    </w:rPr>
  </w:style>
  <w:style w:type="character" w:customStyle="1" w:styleId="TitelChar">
    <w:name w:val="Titel Char"/>
    <w:basedOn w:val="Standaardalinea-lettertype"/>
    <w:link w:val="Titel"/>
    <w:uiPriority w:val="10"/>
    <w:rsid w:val="00BD18A3"/>
    <w:rPr>
      <w:rFonts w:ascii="Verdana" w:eastAsia="Verdana" w:hAnsi="Verdana" w:cs="Verdana"/>
      <w:b/>
      <w:bCs/>
      <w:kern w:val="0"/>
      <w:sz w:val="40"/>
      <w:szCs w:val="40"/>
      <w:lang w:val="nl-NL"/>
      <w14:ligatures w14:val="none"/>
    </w:rPr>
  </w:style>
  <w:style w:type="character" w:styleId="Regelnummer">
    <w:name w:val="line number"/>
    <w:basedOn w:val="Standaardalinea-lettertype"/>
    <w:uiPriority w:val="99"/>
    <w:semiHidden/>
    <w:unhideWhenUsed/>
    <w:rsid w:val="00BD18A3"/>
  </w:style>
  <w:style w:type="character" w:styleId="Onopgelostemelding">
    <w:name w:val="Unresolved Mention"/>
    <w:basedOn w:val="Standaardalinea-lettertype"/>
    <w:uiPriority w:val="99"/>
    <w:semiHidden/>
    <w:unhideWhenUsed/>
    <w:rsid w:val="00BD18A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tatbel.fgov.be/nl/themas/bevolking/partnerschap/huwelijken"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vlaanderen.be/statistiek-vlaanderen/bevolking/echtscheidingen"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vlaanderen.be/statistiek-vlaanderen/bevolking/stopzetting-van-wettelijke-samenwoningen" TargetMode="External"/><Relationship Id="rId4" Type="http://schemas.openxmlformats.org/officeDocument/2006/relationships/webSettings" Target="webSettings.xml"/><Relationship Id="rId9" Type="http://schemas.openxmlformats.org/officeDocument/2006/relationships/hyperlink" Target="https://statbel.fgov.be/nl/themas/bevolking/partnerschap/wettelijke-samenwoning"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statbel.fgov.be/nl/themas/bevolking/partnerschap/wettelijke-samenwoning" TargetMode="External"/><Relationship Id="rId2" Type="http://schemas.openxmlformats.org/officeDocument/2006/relationships/hyperlink" Target="https://statbel.fgov.be/nl/themas/bevolking/partnerschap/huwelijken" TargetMode="External"/><Relationship Id="rId1" Type="http://schemas.openxmlformats.org/officeDocument/2006/relationships/hyperlink" Target="https://www.vlaanderen.be/statistiek-vlaanderen/bevolking/echtscheidingen" TargetMode="External"/><Relationship Id="rId5" Type="http://schemas.openxmlformats.org/officeDocument/2006/relationships/hyperlink" Target="https://www.vlaanderen.be/statistiek-vlaanderen/bevolking/echtscheidingen" TargetMode="External"/><Relationship Id="rId4" Type="http://schemas.openxmlformats.org/officeDocument/2006/relationships/hyperlink" Target="https://www.vlaanderen.be/statistiek-vlaanderen/bevolking/stopzetting-van-wettelijke-samenwoningen"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77</Pages>
  <Words>25673</Words>
  <Characters>141206</Characters>
  <Application>Microsoft Office Word</Application>
  <DocSecurity>0</DocSecurity>
  <Lines>1176</Lines>
  <Paragraphs>333</Paragraphs>
  <ScaleCrop>false</ScaleCrop>
  <Company/>
  <LinksUpToDate>false</LinksUpToDate>
  <CharactersWithSpaces>166546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Jarne Wietse H Thiels</dc:creator>
  <cp:keywords/>
  <dc:description/>
  <cp:lastModifiedBy>Jarne Wietse H Thiels</cp:lastModifiedBy>
  <cp:revision>1</cp:revision>
  <dcterms:created xsi:type="dcterms:W3CDTF">2024-09-18T11:57:00Z</dcterms:created>
  <dcterms:modified xsi:type="dcterms:W3CDTF">2024-09-18T11:59:00Z</dcterms:modified>
</cp:coreProperties>
</file>